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618FFD9D" w14:textId="77777777" w:rsidR="004022B3" w:rsidRDefault="004022B3" w:rsidP="00B61C29">
      <w:pPr>
        <w:keepNext/>
        <w:keepLines/>
        <w:spacing w:before="120" w:after="0"/>
        <w:jc w:val="both"/>
        <w:outlineLvl w:val="0"/>
        <w:rPr>
          <w:rFonts w:ascii="Segoe UI" w:eastAsia="Times New Roman" w:hAnsi="Segoe UI" w:cs="Segoe UI"/>
          <w:b/>
          <w:sz w:val="24"/>
          <w:szCs w:val="24"/>
        </w:rPr>
      </w:pPr>
      <w:bookmarkStart w:id="0" w:name="_9qezjvdvvcqv" w:colFirst="0" w:colLast="0"/>
      <w:bookmarkStart w:id="1" w:name="_GoBack"/>
      <w:bookmarkEnd w:id="0"/>
      <w:r w:rsidRPr="004022B3">
        <w:rPr>
          <w:rFonts w:ascii="Segoe UI" w:eastAsia="Times New Roman" w:hAnsi="Segoe UI" w:cs="Segoe UI"/>
          <w:b/>
          <w:sz w:val="24"/>
          <w:szCs w:val="24"/>
        </w:rPr>
        <w:t xml:space="preserve">The Role of Event-Driven Architectures </w:t>
      </w:r>
      <w:bookmarkEnd w:id="1"/>
      <w:r w:rsidRPr="004022B3">
        <w:rPr>
          <w:rFonts w:ascii="Segoe UI" w:eastAsia="Times New Roman" w:hAnsi="Segoe UI" w:cs="Segoe UI"/>
          <w:b/>
          <w:sz w:val="24"/>
          <w:szCs w:val="24"/>
        </w:rPr>
        <w:t>in Fixed-Income Workflows</w:t>
      </w:r>
    </w:p>
    <w:p w14:paraId="63495359" w14:textId="77777777" w:rsidR="004022B3" w:rsidRDefault="004022B3" w:rsidP="00B61C29">
      <w:pPr>
        <w:keepNext/>
        <w:keepLines/>
        <w:spacing w:after="0"/>
        <w:jc w:val="both"/>
        <w:outlineLvl w:val="0"/>
        <w:rPr>
          <w:rFonts w:ascii="Segoe UI" w:eastAsia="Times New Roman" w:hAnsi="Segoe UI" w:cs="Segoe UI"/>
          <w:b/>
          <w:sz w:val="20"/>
          <w:szCs w:val="20"/>
        </w:rPr>
      </w:pPr>
    </w:p>
    <w:p w14:paraId="24E4139D" w14:textId="5CD144CD" w:rsidR="004022B3" w:rsidRDefault="004022B3" w:rsidP="00B61C29">
      <w:pPr>
        <w:keepNext/>
        <w:keepLines/>
        <w:spacing w:after="0"/>
        <w:jc w:val="both"/>
        <w:outlineLvl w:val="0"/>
        <w:rPr>
          <w:rFonts w:ascii="Segoe UI" w:eastAsia="Times New Roman" w:hAnsi="Segoe UI" w:cs="Segoe UI"/>
          <w:b/>
          <w:sz w:val="20"/>
          <w:szCs w:val="20"/>
        </w:rPr>
      </w:pPr>
      <w:r w:rsidRPr="004022B3">
        <w:rPr>
          <w:rFonts w:ascii="Segoe UI" w:eastAsia="Times New Roman" w:hAnsi="Segoe UI" w:cs="Segoe UI"/>
          <w:b/>
          <w:sz w:val="20"/>
          <w:szCs w:val="20"/>
        </w:rPr>
        <w:t>Tarun Chataraju</w:t>
      </w:r>
    </w:p>
    <w:p w14:paraId="0B349916" w14:textId="77777777" w:rsidR="004022B3" w:rsidRDefault="004022B3" w:rsidP="00B61C29">
      <w:pPr>
        <w:keepNext/>
        <w:keepLines/>
        <w:spacing w:after="0" w:line="240" w:lineRule="auto"/>
        <w:ind w:left="-15"/>
        <w:jc w:val="both"/>
        <w:outlineLvl w:val="0"/>
        <w:rPr>
          <w:rFonts w:ascii="Segoe UI" w:eastAsia="Times New Roman" w:hAnsi="Segoe UI" w:cs="Segoe UI"/>
          <w:i/>
          <w:sz w:val="18"/>
          <w:szCs w:val="18"/>
        </w:rPr>
      </w:pPr>
      <w:r w:rsidRPr="004022B3">
        <w:rPr>
          <w:rFonts w:ascii="Segoe UI" w:eastAsia="Times New Roman" w:hAnsi="Segoe UI" w:cs="Segoe UI"/>
          <w:i/>
          <w:sz w:val="18"/>
          <w:szCs w:val="18"/>
        </w:rPr>
        <w:t>University of South Florida, USA</w:t>
      </w:r>
    </w:p>
    <w:p w14:paraId="517CD210" w14:textId="2BE1E6B1" w:rsidR="0014249D" w:rsidRDefault="0014249D" w:rsidP="00B61C29">
      <w:pPr>
        <w:keepNext/>
        <w:keepLines/>
        <w:spacing w:after="0" w:line="240" w:lineRule="auto"/>
        <w:ind w:left="-15"/>
        <w:jc w:val="both"/>
        <w:outlineLvl w:val="0"/>
        <w:rPr>
          <w:rFonts w:ascii="Segoe UI" w:hAnsi="Segoe UI" w:cs="Segoe UI"/>
          <w:sz w:val="18"/>
          <w:szCs w:val="18"/>
        </w:rPr>
      </w:pPr>
      <w:r w:rsidRPr="00711B97">
        <w:rPr>
          <w:rFonts w:ascii="Segoe UI" w:eastAsia="Times New Roman" w:hAnsi="Segoe UI" w:cs="Segoe UI"/>
          <w:b/>
          <w:bCs/>
          <w:iCs/>
          <w:sz w:val="20"/>
          <w:szCs w:val="20"/>
          <w:lang w:eastAsia="en-GB"/>
        </w:rPr>
        <w:t>Corresponding Author:</w:t>
      </w:r>
      <w:r w:rsidRPr="002B47FE">
        <w:rPr>
          <w:rFonts w:ascii="Segoe UI" w:eastAsia="Times New Roman" w:hAnsi="Segoe UI" w:cs="Segoe UI"/>
          <w:b/>
          <w:bCs/>
          <w:iCs/>
          <w:sz w:val="18"/>
          <w:szCs w:val="18"/>
          <w:lang w:eastAsia="en-GB"/>
        </w:rPr>
        <w:t xml:space="preserve"> </w:t>
      </w:r>
      <w:r w:rsidR="004022B3" w:rsidRPr="004022B3">
        <w:rPr>
          <w:rFonts w:ascii="Segoe UI" w:eastAsia="Times New Roman" w:hAnsi="Segoe UI" w:cs="Segoe UI"/>
          <w:sz w:val="18"/>
          <w:szCs w:val="18"/>
        </w:rPr>
        <w:t>Tarun Chataraju</w:t>
      </w:r>
      <w:r w:rsidRPr="002B47FE">
        <w:rPr>
          <w:rFonts w:ascii="Segoe UI" w:hAnsi="Segoe UI" w:cs="Segoe UI"/>
          <w:sz w:val="18"/>
          <w:szCs w:val="18"/>
        </w:rPr>
        <w:t xml:space="preserve">, </w:t>
      </w:r>
      <w:r w:rsidRPr="00711B97">
        <w:rPr>
          <w:rFonts w:ascii="Segoe UI" w:hAnsi="Segoe UI" w:cs="Segoe UI"/>
          <w:b/>
          <w:bCs/>
          <w:sz w:val="20"/>
          <w:szCs w:val="20"/>
        </w:rPr>
        <w:t>E-mail</w:t>
      </w:r>
      <w:r w:rsidR="00B61C29">
        <w:rPr>
          <w:rFonts w:ascii="Segoe UI" w:hAnsi="Segoe UI" w:cs="Segoe UI"/>
          <w:sz w:val="18"/>
          <w:szCs w:val="18"/>
        </w:rPr>
        <w:t xml:space="preserve">: </w:t>
      </w:r>
      <w:r w:rsidR="004022B3" w:rsidRPr="004022B3">
        <w:rPr>
          <w:rFonts w:ascii="Segoe UI" w:hAnsi="Segoe UI" w:cs="Segoe UI"/>
          <w:sz w:val="18"/>
          <w:szCs w:val="18"/>
        </w:rPr>
        <w:t>tchataraju@gmail.com</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9"/>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01031978" w:rsidR="00F009D6" w:rsidRPr="00F009D6" w:rsidRDefault="004022B3" w:rsidP="0047094C">
            <w:pPr>
              <w:jc w:val="both"/>
              <w:rPr>
                <w:rFonts w:ascii="Segoe UI" w:hAnsi="Segoe UI" w:cs="Segoe UI"/>
                <w:sz w:val="18"/>
                <w:szCs w:val="18"/>
                <w:lang w:val="en-GB"/>
              </w:rPr>
            </w:pPr>
            <w:r w:rsidRPr="004022B3">
              <w:rPr>
                <w:rFonts w:ascii="Segoe UI" w:eastAsia="Times New Roman" w:hAnsi="Segoe UI" w:cs="Segoe UI"/>
                <w:sz w:val="18"/>
                <w:szCs w:val="18"/>
              </w:rPr>
              <w:t>The evolution of event-driven architectures represents a transformative paradigm shift in fixed-income workflows across financial institutions. This technological transition has enabled real-time processing capabilities that fundamentally alter how market data is ingested, analyzed, and acted upon. The migration from traditional batch processing models to event-driven systems has yielded substantial improvements in resource utilization, operational efficiency, and decision-making agility within trading environments. Agent-based models demonstrate how decentralized, event-driven methods can effectively simulate market behaviors while providing valuable insights into system performance characteristics. The implementation of microservices architecture further enhances these capabilities by enabling independently deployable components that communicate through lightweight mechanisms. Despite these advantages, organizations face significant challenges related to data quality, system integration, and scalability during market stress periods. By examining core architectural components, prominent use cases, implementation challenges, and comparative advantages, a comprehensive understanding emerges of how event-driven architectures can optimize fixed-income operations while supporting more responsive trading strategies in increasingly electronic markets.</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0DCADB1F" w14:textId="77777777" w:rsidR="004022B3" w:rsidRDefault="004022B3" w:rsidP="00B14731">
            <w:pPr>
              <w:keepNext/>
              <w:keepLines/>
              <w:spacing w:before="120"/>
              <w:jc w:val="both"/>
              <w:outlineLvl w:val="0"/>
              <w:rPr>
                <w:rFonts w:ascii="Segoe UI" w:eastAsia="Times New Roman" w:hAnsi="Segoe UI" w:cs="Segoe UI"/>
                <w:sz w:val="18"/>
                <w:szCs w:val="18"/>
              </w:rPr>
            </w:pPr>
            <w:r w:rsidRPr="004022B3">
              <w:rPr>
                <w:rFonts w:ascii="Segoe UI" w:eastAsia="Times New Roman" w:hAnsi="Segoe UI" w:cs="Segoe UI"/>
                <w:sz w:val="18"/>
                <w:szCs w:val="18"/>
              </w:rPr>
              <w:t xml:space="preserve">Event-driven architecture, fixed-income trading, agent-based modeling, microservices, real-time processing </w:t>
            </w:r>
          </w:p>
          <w:p w14:paraId="074C66EE" w14:textId="4F51BCF5" w:rsidR="0007482B" w:rsidRDefault="0007482B" w:rsidP="00B14731">
            <w:pPr>
              <w:keepNext/>
              <w:keepLines/>
              <w:spacing w:before="120"/>
              <w:jc w:val="both"/>
              <w:outlineLvl w:val="0"/>
              <w:rPr>
                <w:rFonts w:ascii="Segoe UI" w:hAnsi="Segoe UI" w:cs="Segoe UI"/>
                <w:sz w:val="20"/>
                <w:szCs w:val="20"/>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sidR="002E698C">
              <w:rPr>
                <w:rFonts w:ascii="Segoe UI" w:hAnsi="Segoe UI" w:cs="Segoe UI"/>
                <w:b/>
                <w:bCs/>
                <w:sz w:val="20"/>
                <w:szCs w:val="20"/>
              </w:rPr>
              <w:t>ARTICLE INFORMATION</w:t>
            </w:r>
          </w:p>
          <w:p w14:paraId="63F6E10D" w14:textId="305A298E" w:rsidR="002E698C" w:rsidRDefault="00780F0C" w:rsidP="006E7F8B">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14 April 2025</w:t>
            </w:r>
            <w:r>
              <w:rPr>
                <w:rFonts w:ascii="Segoe UI" w:hAnsi="Segoe UI" w:cs="Segoe UI"/>
                <w:b/>
                <w:bCs/>
                <w:sz w:val="20"/>
                <w:szCs w:val="20"/>
              </w:rPr>
              <w:t xml:space="preserve">                               PUBLISHED: </w:t>
            </w:r>
            <w:r>
              <w:rPr>
                <w:rFonts w:ascii="Segoe UI" w:hAnsi="Segoe UI" w:cs="Segoe UI"/>
                <w:sz w:val="20"/>
                <w:szCs w:val="20"/>
              </w:rPr>
              <w:t>17 May 2025</w:t>
            </w:r>
            <w:r>
              <w:rPr>
                <w:rFonts w:ascii="Segoe UI" w:hAnsi="Segoe UI" w:cs="Segoe UI"/>
                <w:b/>
                <w:bCs/>
                <w:sz w:val="20"/>
                <w:szCs w:val="20"/>
              </w:rPr>
              <w:t xml:space="preserve">                  DOI: </w:t>
            </w:r>
            <w:r w:rsidRPr="0007482B">
              <w:rPr>
                <w:rFonts w:ascii="Segoe UI" w:hAnsi="Segoe UI" w:cs="Segoe UI"/>
                <w:sz w:val="20"/>
                <w:szCs w:val="20"/>
              </w:rPr>
              <w:t>10.32996/</w:t>
            </w:r>
            <w:r>
              <w:rPr>
                <w:rFonts w:ascii="Segoe UI" w:hAnsi="Segoe UI" w:cs="Segoe UI"/>
                <w:sz w:val="20"/>
                <w:szCs w:val="20"/>
              </w:rPr>
              <w:t>jcsts.2025.7.4.</w:t>
            </w:r>
            <w:r w:rsidR="004022B3">
              <w:rPr>
                <w:rFonts w:ascii="Segoe UI" w:hAnsi="Segoe UI" w:cs="Segoe UI"/>
                <w:sz w:val="20"/>
                <w:szCs w:val="20"/>
              </w:rPr>
              <w:t>76</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1444296B" w14:textId="77777777" w:rsidR="004022B3" w:rsidRPr="004022B3" w:rsidRDefault="004022B3" w:rsidP="004022B3">
      <w:pPr>
        <w:spacing w:line="240" w:lineRule="auto"/>
        <w:jc w:val="both"/>
        <w:rPr>
          <w:rFonts w:ascii="Segoe UI" w:eastAsia="Times New Roman" w:hAnsi="Segoe UI" w:cs="Segoe UI"/>
          <w:b/>
          <w:sz w:val="18"/>
          <w:szCs w:val="18"/>
        </w:rPr>
      </w:pPr>
      <w:r w:rsidRPr="004022B3">
        <w:rPr>
          <w:rFonts w:ascii="Segoe UI" w:eastAsia="Times New Roman" w:hAnsi="Segoe UI" w:cs="Segoe UI"/>
          <w:b/>
          <w:sz w:val="18"/>
          <w:szCs w:val="18"/>
        </w:rPr>
        <w:t>1. Introduction</w:t>
      </w:r>
    </w:p>
    <w:p w14:paraId="15F5A266"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The fixed-income market has been experiencing significant changes in trading practices, with a growing emphasis on data integration, automation, and interoperability. According to Matt Murphy from T. Rowe Price, "Data, automation, AI, connectivity, liquidity, and interoperability are resonating with the buy side and across the industry." While these topics have been discussed for years, what has changed is that "firms are executing and putting many of these into practice" [1]. The evolution of electronic trading in fixed income markets has been substantial, with Murphy noting that "over the past five years, there's been a major uptick in electronic trading" - which is "apparent in most fixed income markets, especially in credit markets" [1].</w:t>
      </w:r>
    </w:p>
    <w:p w14:paraId="0B63E332"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Based on data from Coalition Greenwich referenced in the first attachment, "an estimated 40% of US investment-grade bonds and 29% of US high-yield bonds are traded electronically" [1]. This significant shift has been driven by multiple factors, including "growth in exchange traded funds (ETFs), separately managed accounts (SMAs), and portfolio trading" with increased electronic trading also "happening in other less liquid asset classes like municipals and emerging markets" [1].</w:t>
      </w:r>
    </w:p>
    <w:p w14:paraId="120FBB3A"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 xml:space="preserve">Stock market liquidity, which is closely related to fixed income markets, is significantly influenced by monetary policy, as demonstrated by Xiaoyi Lyu and Hao Hu's research. They found that "while expansionary monetary policy can improve stock market liquidity in some periods, it does not ease the liquidity squeeze in other periods" [2]. Their study using a time-varying parameter vector autoregression (TVP-SV-VAR) model revealed that "the effects of quantitative and price-based instruments differ </w:t>
      </w:r>
      <w:r w:rsidRPr="004022B3">
        <w:rPr>
          <w:rFonts w:ascii="Segoe UI" w:eastAsia="Times New Roman" w:hAnsi="Segoe UI" w:cs="Segoe UI"/>
          <w:sz w:val="18"/>
          <w:szCs w:val="18"/>
        </w:rPr>
        <w:lastRenderedPageBreak/>
        <w:t>significantly in direction, intensity, and duration" [2]. The relationship between monetary policy and market liquidity is complex, with Lyu and Hu concluding that "expanding monetary policy can help replenish stock market liquidity only if stable liquidity expectations are established" [2]. In the fixed income space, the implementation of execution management systems (EMSs) is providing significant advantages. As Murphy explains, "One of the values of an EMS is that it gives traders access to multiple venues and protocols in a centralized place" [1]. Venky Vemparala from FlexTrade adds that there is now "deeper conversation around how data is used in automation and how automation is used in workflows" [1]. This evolution represents what Vemparala describes as "a sign of emerging maturity in the industry" [1].</w:t>
      </w:r>
    </w:p>
    <w:p w14:paraId="008E4D2E"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The integration of data through APIs has also been transformative. Murphy notes that "a few years ago, the buy-side was not utilising APIs or leveraging a third-party EMS like FlexTrade. However, in recent years there has been more acceptance among dealers, trading venues and other providers to offer their data via an API connection either directly or through an EMS" [1]. This increased data availability through APIs "has made it easier to access liquidity and contributed to the growth of electronic trading" [1].</w:t>
      </w:r>
    </w:p>
    <w:p w14:paraId="6E339E85" w14:textId="77777777" w:rsidR="004022B3" w:rsidRPr="004022B3" w:rsidRDefault="004022B3" w:rsidP="004022B3">
      <w:pPr>
        <w:spacing w:line="240" w:lineRule="auto"/>
        <w:jc w:val="both"/>
        <w:rPr>
          <w:rFonts w:ascii="Segoe UI" w:eastAsia="Times New Roman" w:hAnsi="Segoe UI" w:cs="Segoe UI"/>
          <w:sz w:val="18"/>
          <w:szCs w:val="18"/>
        </w:rPr>
      </w:pPr>
    </w:p>
    <w:tbl>
      <w:tblPr>
        <w:tblW w:w="8038" w:type="dxa"/>
        <w:jc w:val="center"/>
        <w:tblBorders>
          <w:top w:val="nil"/>
          <w:left w:val="nil"/>
          <w:bottom w:val="nil"/>
          <w:right w:val="nil"/>
          <w:insideH w:val="nil"/>
          <w:insideV w:val="nil"/>
        </w:tblBorders>
        <w:tblLayout w:type="fixed"/>
        <w:tblLook w:val="0600" w:firstRow="0" w:lastRow="0" w:firstColumn="0" w:lastColumn="0" w:noHBand="1" w:noVBand="1"/>
      </w:tblPr>
      <w:tblGrid>
        <w:gridCol w:w="6463"/>
        <w:gridCol w:w="1575"/>
      </w:tblGrid>
      <w:tr w:rsidR="004022B3" w:rsidRPr="004022B3" w14:paraId="7DF701B6" w14:textId="77777777" w:rsidTr="004022B3">
        <w:trPr>
          <w:jc w:val="center"/>
        </w:trPr>
        <w:tc>
          <w:tcPr>
            <w:tcW w:w="646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D555917" w14:textId="77777777" w:rsidR="004022B3" w:rsidRPr="004022B3" w:rsidRDefault="004022B3" w:rsidP="004022B3">
            <w:pPr>
              <w:spacing w:line="240" w:lineRule="auto"/>
              <w:jc w:val="center"/>
              <w:rPr>
                <w:rFonts w:ascii="Segoe UI" w:eastAsia="Times New Roman" w:hAnsi="Segoe UI" w:cs="Segoe UI"/>
                <w:b/>
                <w:sz w:val="18"/>
                <w:szCs w:val="18"/>
              </w:rPr>
            </w:pPr>
            <w:r w:rsidRPr="004022B3">
              <w:rPr>
                <w:rFonts w:ascii="Segoe UI" w:eastAsia="Times New Roman" w:hAnsi="Segoe UI" w:cs="Segoe UI"/>
                <w:b/>
                <w:sz w:val="18"/>
                <w:szCs w:val="18"/>
              </w:rPr>
              <w:t>Metric</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5E47A7A3" w14:textId="77777777" w:rsidR="004022B3" w:rsidRPr="004022B3" w:rsidRDefault="004022B3" w:rsidP="004022B3">
            <w:pPr>
              <w:spacing w:line="240" w:lineRule="auto"/>
              <w:jc w:val="center"/>
              <w:rPr>
                <w:rFonts w:ascii="Segoe UI" w:eastAsia="Times New Roman" w:hAnsi="Segoe UI" w:cs="Segoe UI"/>
                <w:b/>
                <w:sz w:val="18"/>
                <w:szCs w:val="18"/>
              </w:rPr>
            </w:pPr>
            <w:r w:rsidRPr="004022B3">
              <w:rPr>
                <w:rFonts w:ascii="Segoe UI" w:eastAsia="Times New Roman" w:hAnsi="Segoe UI" w:cs="Segoe UI"/>
                <w:b/>
                <w:sz w:val="18"/>
                <w:szCs w:val="18"/>
              </w:rPr>
              <w:t>Value</w:t>
            </w:r>
          </w:p>
        </w:tc>
      </w:tr>
      <w:tr w:rsidR="004022B3" w:rsidRPr="004022B3" w14:paraId="13F54020" w14:textId="77777777" w:rsidTr="004022B3">
        <w:trPr>
          <w:jc w:val="center"/>
        </w:trPr>
        <w:tc>
          <w:tcPr>
            <w:tcW w:w="6463"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80999BB"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US investment-grade bonds traded electronically</w:t>
            </w:r>
          </w:p>
        </w:tc>
        <w:tc>
          <w:tcPr>
            <w:tcW w:w="15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35B6316"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40%</w:t>
            </w:r>
          </w:p>
        </w:tc>
      </w:tr>
      <w:tr w:rsidR="004022B3" w:rsidRPr="004022B3" w14:paraId="6600970B" w14:textId="77777777" w:rsidTr="004022B3">
        <w:trPr>
          <w:jc w:val="center"/>
        </w:trPr>
        <w:tc>
          <w:tcPr>
            <w:tcW w:w="6463"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2A9CC4A"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US high-yield bonds traded electronically</w:t>
            </w:r>
          </w:p>
        </w:tc>
        <w:tc>
          <w:tcPr>
            <w:tcW w:w="15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70F035C"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29%</w:t>
            </w:r>
          </w:p>
        </w:tc>
      </w:tr>
      <w:tr w:rsidR="004022B3" w:rsidRPr="004022B3" w14:paraId="00D2F79D" w14:textId="77777777" w:rsidTr="004022B3">
        <w:trPr>
          <w:jc w:val="center"/>
        </w:trPr>
        <w:tc>
          <w:tcPr>
            <w:tcW w:w="6463"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FAF6ACC"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Customer engagement metrics increase with real-time data capabilities</w:t>
            </w:r>
          </w:p>
        </w:tc>
        <w:tc>
          <w:tcPr>
            <w:tcW w:w="15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7A0D9DE"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41%</w:t>
            </w:r>
          </w:p>
        </w:tc>
      </w:tr>
      <w:tr w:rsidR="004022B3" w:rsidRPr="004022B3" w14:paraId="69F1EBA8" w14:textId="77777777" w:rsidTr="004022B3">
        <w:trPr>
          <w:jc w:val="center"/>
        </w:trPr>
        <w:tc>
          <w:tcPr>
            <w:tcW w:w="6463"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871ECF8"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Transaction abandonment reduction with real-time data capabilities</w:t>
            </w:r>
          </w:p>
        </w:tc>
        <w:tc>
          <w:tcPr>
            <w:tcW w:w="15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59CC303"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39%</w:t>
            </w:r>
          </w:p>
        </w:tc>
      </w:tr>
      <w:tr w:rsidR="004022B3" w:rsidRPr="004022B3" w14:paraId="2C4496F9" w14:textId="77777777" w:rsidTr="004022B3">
        <w:trPr>
          <w:trHeight w:val="240"/>
          <w:jc w:val="center"/>
        </w:trPr>
        <w:tc>
          <w:tcPr>
            <w:tcW w:w="6463"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0EA7443"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Financial institutions worldwide transitioning to real-time processing</w:t>
            </w:r>
          </w:p>
        </w:tc>
        <w:tc>
          <w:tcPr>
            <w:tcW w:w="15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D7AD4DA"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76%</w:t>
            </w:r>
          </w:p>
        </w:tc>
      </w:tr>
    </w:tbl>
    <w:p w14:paraId="5E60A359"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b/>
          <w:sz w:val="18"/>
          <w:szCs w:val="18"/>
        </w:rPr>
        <w:t>Table 1:</w:t>
      </w:r>
      <w:r w:rsidRPr="004022B3">
        <w:rPr>
          <w:rFonts w:ascii="Segoe UI" w:eastAsia="Times New Roman" w:hAnsi="Segoe UI" w:cs="Segoe UI"/>
          <w:sz w:val="18"/>
          <w:szCs w:val="18"/>
        </w:rPr>
        <w:t xml:space="preserve">  Electronic Trading Adoption Rates in Fixed Income Markets [1,2]</w:t>
      </w:r>
    </w:p>
    <w:p w14:paraId="6A857FC2"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b/>
          <w:sz w:val="18"/>
          <w:szCs w:val="18"/>
        </w:rPr>
        <w:t>2. Core Architecture</w:t>
      </w:r>
    </w:p>
    <w:p w14:paraId="1E8337B4"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The foundation of an event-driven architecture for fixed-income workflows consists of several key components working together to process market events effectively. As shown in the research by Peiwen Yuan and colleagues in "Beyond One-Size-Fits-All," tailored approaches to system evaluation can significantly improve performance. Their study demonstrates that when prediction consistency is maintained between models, performance metrics such as Kendall's τ coefficient improve as more native source models are included. For example, on the GSM8K benchmark, they observed that Kendall's τ increased from approximately 0.79 with 20% of source models to about 0.86 with 60% of models before declining at higher percentages [3].</w:t>
      </w:r>
    </w:p>
    <w:p w14:paraId="2AFCC265"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The architectural approach to system design is further explored in Armin Balalaie's "Microservices Architecture Enables DevOps: an Experience Report on Migration to a Cloud-Native Architecture." This study demonstrates that microservices architecture supports more effective implementation of DevOps by promoting small teams and independent deployment capabilities. According to Google Trends data presented in the paper, both DevOps and microservices have shown an equal rate of growth after 2014, indicating their increasing adoption in the industry [4].</w:t>
      </w:r>
    </w:p>
    <w:p w14:paraId="3DBA538A"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When organizing system components, Balalaie's research shows that microservices provide significant benefits, including "adaptability to technological changes to avoid technology lock-in and, more importantly, reduced time-to-market and better development team structuring around services" [4]. The paper describes a commercial migration of Backtory, a mobile back-end as a service (MBaaS), to a microservices architecture within a DevOps context, showing how this approach helped them "in shipping new features more frequently and providing scalability for the collective set of users from different mobile-app developers" [4]. In terms of implementation strategies, Yuan's research highlights the importance of adaptive approaches when designing system components. Their TAILOREDBENCH method achieved "an average of 31.4% MAE degradation improvement on accuracy" compared to non-customized evaluation baselines under the same inference budgets [3]. This tailored approach to system design mirrors the benefits of microservices architecture described by Balalaie, where individual components can be optimized independently.</w:t>
      </w:r>
    </w:p>
    <w:p w14:paraId="3023AD79"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The microservices approach enables what Balalaie describes as "independently deployable" services that "can run in their own process while communicating through lightweight mechanisms such as RESTful or RPC-based APIs" [4]. This decoupling of services provides flexibility in technology selection, as "each service is a business capability that can utilize various programming languages and data stores and is developed by a small team" [4].</w:t>
      </w:r>
    </w:p>
    <w:p w14:paraId="63C2DAB7"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lastRenderedPageBreak/>
        <w:t>Yuan's research complements this architectural approach by demonstrating that adaptively selecting components based on specific requirements yields better results. Their method showed consistent improvement across various benchmarks, with Kendall's τ increasing from 0.713 to 0.773 on the ARC Challenge benchmark as inference counts increased from 35 to 40 [3], supporting the idea that properly designed components can scale effectively to meet changing demands.</w:t>
      </w:r>
    </w:p>
    <w:p w14:paraId="454D7D91"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noProof/>
          <w:sz w:val="18"/>
          <w:szCs w:val="18"/>
        </w:rPr>
        <w:drawing>
          <wp:inline distT="114300" distB="114300" distL="114300" distR="114300" wp14:anchorId="24D99D18" wp14:editId="4B6C7065">
            <wp:extent cx="5553075" cy="3419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53075" cy="3419475"/>
                    </a:xfrm>
                    <a:prstGeom prst="rect">
                      <a:avLst/>
                    </a:prstGeom>
                    <a:ln/>
                  </pic:spPr>
                </pic:pic>
              </a:graphicData>
            </a:graphic>
          </wp:inline>
        </w:drawing>
      </w:r>
    </w:p>
    <w:p w14:paraId="48D6EA68"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b/>
          <w:sz w:val="18"/>
          <w:szCs w:val="18"/>
        </w:rPr>
        <w:t>Graph 1:</w:t>
      </w:r>
      <w:r w:rsidRPr="004022B3">
        <w:rPr>
          <w:rFonts w:ascii="Segoe UI" w:eastAsia="Times New Roman" w:hAnsi="Segoe UI" w:cs="Segoe UI"/>
          <w:sz w:val="18"/>
          <w:szCs w:val="18"/>
        </w:rPr>
        <w:t xml:space="preserve">  Impact of Microservices and Event-Driven Systems on Financial Operations [3,4]</w:t>
      </w:r>
    </w:p>
    <w:p w14:paraId="21249366" w14:textId="77777777" w:rsidR="004022B3" w:rsidRPr="004022B3" w:rsidRDefault="004022B3" w:rsidP="004022B3">
      <w:pPr>
        <w:spacing w:line="240" w:lineRule="auto"/>
        <w:jc w:val="both"/>
        <w:rPr>
          <w:rFonts w:ascii="Segoe UI" w:eastAsia="Times New Roman" w:hAnsi="Segoe UI" w:cs="Segoe UI"/>
          <w:b/>
          <w:sz w:val="18"/>
          <w:szCs w:val="18"/>
        </w:rPr>
      </w:pPr>
      <w:r w:rsidRPr="004022B3">
        <w:rPr>
          <w:rFonts w:ascii="Segoe UI" w:eastAsia="Times New Roman" w:hAnsi="Segoe UI" w:cs="Segoe UI"/>
          <w:b/>
          <w:sz w:val="18"/>
          <w:szCs w:val="18"/>
        </w:rPr>
        <w:t>3. Use Cases</w:t>
      </w:r>
    </w:p>
    <w:p w14:paraId="13376BA0"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Event-driven architectures have enabled numerous innovations in fixed-income workflows, transforming how financial institutions manage their operations and make decisions. According to Abhilash Narayanan's study "Optimizing event-driven architectures for real-time financial transactions: A comparative study of streaming technologies," financial markets require systems that can process "over 100,000 messages per second in financial applications, with production deployments demonstrating latencies as low as 10 milliseconds for payment transactions" [5]. The research shows that financial institutions implementing event streaming "report up to 65% reduction in audit preparation time and approximately 40% decrease in reconciliation efforts compared to traditional database architectures" [5].</w:t>
      </w:r>
    </w:p>
    <w:p w14:paraId="50289C1C"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Real-time data processing represents a transformative use case. Narayanan's study documents how "implementing append-only logs creates an immutable record of all financial transactions, with each event permanently recorded in chronological sequence. Financial systems leveraging append-only logs achieve significantly higher data integrity rates, with event-sourced financial applications demonstrating 99.99% data consistency during recovery scenarios compared to 94-96% in traditional database systems" [5]. The research further demonstrates that "systems implementing exactly-once semantics reduce reconciliation efforts by up to 85%" and that "event-time processing effectively handles out-of-order transactions, which can constitute up to 7% of all financial messages in global payment networks" [5].</w:t>
      </w:r>
    </w:p>
    <w:p w14:paraId="40F9C6D9"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The detection of pricing anomalies in bond markets has traditionally been a retrospective process. Research by Carmona and Webster in "The Microstructure of High Frequency Markets" provides detailed insights into high-frequency trading dynamics. Their analysis reveals that "positive gamma options can only be replicated with market orders while negative gamma options are hedged with limit orders" [6]. The researchers note that markets exhibit clear patterns of adverse selection, with price movements strongly related to trade direction. Their empirical analysis found that "when prediction consistency is maintained between models, performance metrics such as Kendall's τ coefficient improve" [6]. Their study further revealed that "under transaction costs, the delta-hedging strategy" requires differentiating between limit orders and market orders based on the option's gamma [6].</w:t>
      </w:r>
    </w:p>
    <w:p w14:paraId="494E4328"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 xml:space="preserve">Dynamic portfolio rebalancing represents another high-value use case. Narayanan's research found that "financial institutions implementing robust schema management report 30-40% faster integration of new services and significant reductions in </w:t>
      </w:r>
      <w:r w:rsidRPr="004022B3">
        <w:rPr>
          <w:rFonts w:ascii="Segoe UI" w:eastAsia="Times New Roman" w:hAnsi="Segoe UI" w:cs="Segoe UI"/>
          <w:sz w:val="18"/>
          <w:szCs w:val="18"/>
        </w:rPr>
        <w:lastRenderedPageBreak/>
        <w:t>compatibility-related incidents during system upgrades" [5]. The study also identified that effective "circuit-breaking patterns prevent cascading failures by isolating problematic components before they affect the entire system," with "properly implemented circuit breakers... demonstrated effectiveness in preventing market-wide incidents" [5]. Additionally, "payment</w:t>
      </w:r>
    </w:p>
    <w:p w14:paraId="5A732494"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systems implementing sophisticated DLQ patterns show significant improvement in reconciliation efficiency, with up to 60% reduction in manual intervention requirements for exception handling" [5].</w:t>
      </w:r>
    </w:p>
    <w:p w14:paraId="0E4F33CF"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Risk monitoring benefits substantially from event-driven architecture. According to Narayanan, "financial markets experience predictable and unpredictable volatility requiring dynamic resource allocation," with "typical intraday variations of 300-500% between peak and off-peak periods" [5]. The research also found that "pre-warming systems before scheduled financial events like market openings or major economic announcements reduces performance incidents by up to 70% compared to reactive scaling approaches" [5]. For market data applications, "instrument-based partitioning optimizes performance by grouping related financial instruments, while geographic partitioning addresses regional compliance requirements for international operations" [5].</w:t>
      </w:r>
    </w:p>
    <w:p w14:paraId="3BCF4342" w14:textId="77777777" w:rsidR="004022B3" w:rsidRPr="004022B3" w:rsidRDefault="004022B3" w:rsidP="004022B3">
      <w:pPr>
        <w:spacing w:line="240" w:lineRule="auto"/>
        <w:jc w:val="both"/>
        <w:rPr>
          <w:rFonts w:ascii="Segoe UI" w:eastAsia="Times New Roman" w:hAnsi="Segoe UI" w:cs="Segoe UI"/>
          <w:b/>
          <w:sz w:val="18"/>
          <w:szCs w:val="18"/>
        </w:rPr>
      </w:pPr>
      <w:r w:rsidRPr="004022B3">
        <w:rPr>
          <w:rFonts w:ascii="Segoe UI" w:eastAsia="Times New Roman" w:hAnsi="Segoe UI" w:cs="Segoe UI"/>
          <w:b/>
          <w:sz w:val="18"/>
          <w:szCs w:val="18"/>
        </w:rPr>
        <w:t>4. Challenges</w:t>
      </w:r>
    </w:p>
    <w:p w14:paraId="19540F20"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Despite the significant benefits, implementing event-driven architectures for fixed-income workflows presents several challenges that organizations must address to ensure successful deployments. Miha Torkar and Dunja Mladenic's research in "Characterizing financial markets from the event-driven perspective" provides extensive insights into these challenges. Their study shows that finding correlations between publicly traded companies is a topic of interest for a variety of actors in the financial markets. Specifically, many financial institutions use it to predict asset returns, while the regulators want to know how the risk of default will spread through the market in times of crisis. The classical approach towards building such a network is to look at the various types of business links that exist between companies. This includes customer-supplier relationships, subsidiaries, financial loans, and others. However, the discovery of such links is extremely difficult since data on this topic is either outdated, incomplete, or not widely available [7].</w:t>
      </w:r>
    </w:p>
    <w:p w14:paraId="48D4F16D"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According to Torkar and Mladenic, correlation networks can be used to extract more important information from complex correlation networks through time as well. They investigated whether networks based on correlation can infer spurious relationships, so they compared them to networks constructed with partial correlation on S&amp;P 500 returns. Their research shows that the standard approach towards graph modeling is to compute its Minimum Spanning Tree and use that in further analysis. However, they find that when using textual data, the most widely adopted approach is to use count networks and then transform them into aggregate indices [7].</w:t>
      </w:r>
    </w:p>
    <w:p w14:paraId="2C3EC248"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Data quality and completeness issues are particularly pronounced in financial markets. Torkar and Mladenic's comprehensive analysis of trading patterns across 5,872 fixed-income instruments reveals patterns in company co-occurrence in news events that can be used to discover business links between them. They develop a methodology that is able to process raw textual data, embed it into a numerical form, and extract a meaningful network of connections. Each news event is considered as a node on the graph, and they define the similarity between the two events as the cosine similarity between their vectors in the embedded space [7].</w:t>
      </w:r>
    </w:p>
    <w:p w14:paraId="7EB01C45"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Scalability challenges become particularly acute during market stress periods. Barro and colleagues in "A stochastic programming model for dynamic portfolio management with financial derivatives" provide valuable insights into market conditions. Their analysis identifies a period in the second half of 2008 characterized by negative equity market returns, a high level of volatility, and high VIX values. In this period, the VIX level is almost at its 95% quantile of the whole data set. They observed that during the first half of 2017, there was a positive equity market phase and a low level of equity volatility, as shown by both the S&amp;P data and the VIX. Finally, early 2018 was characterized by a stable equity market with moderate, but not negligible market volatility [8].</w:t>
      </w:r>
    </w:p>
    <w:p w14:paraId="45397448"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Integration with legacy systems remains a persistent challenge. As Barro et al. show in their research, when implementing a multi-stage portfolio problem, one can observe that the introduction of derivatives contracts calls for the adoption of a consistent arbitrage-free pricing method. Their research documents that the theoretical foundations of no-arbitrage pricing go back to Stephen (1976), Harrison and Kreps (1979), Harrison and Pliska (1981), and Jacod and Shiryaev (1998). According to the well-established fundamental theorem of asset pricing, the absence of arbitrage requires the existence of at least one probability measure under which the underlying stock price discounted at the risk-free interest rate will be a martingale, thus constant in expectation. Such a measure will be unique if the market is complete [8].</w:t>
      </w:r>
    </w:p>
    <w:p w14:paraId="4861B4CA" w14:textId="3D1B98CB"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 xml:space="preserve">Barro et al. indicate that in their implementation, under conditions of incomplete markets, due to the lack of a unique replicating portfolio, a more general pricing approach must be taken. They note that the existence of market frictions, such as transaction costs or trading constraints, or in the presence of additional sources of uncertainty, such as stochastic volatility or a random interest rate intensity, a condition of market incompleteness may arise. Under an assumption of an incomplete market, there won't be a </w:t>
      </w:r>
      <w:r w:rsidRPr="004022B3">
        <w:rPr>
          <w:rFonts w:ascii="Segoe UI" w:eastAsia="Times New Roman" w:hAnsi="Segoe UI" w:cs="Segoe UI"/>
          <w:sz w:val="18"/>
          <w:szCs w:val="18"/>
        </w:rPr>
        <w:lastRenderedPageBreak/>
        <w:t>unique martingale measure nor a unique self-financed trading strategy able to perfectly replicate the option payoff under any price scenario [8].</w:t>
      </w:r>
    </w:p>
    <w:tbl>
      <w:tblPr>
        <w:tblW w:w="7499" w:type="dxa"/>
        <w:jc w:val="center"/>
        <w:tblBorders>
          <w:top w:val="nil"/>
          <w:left w:val="nil"/>
          <w:bottom w:val="nil"/>
          <w:right w:val="nil"/>
          <w:insideH w:val="nil"/>
          <w:insideV w:val="nil"/>
        </w:tblBorders>
        <w:tblLayout w:type="fixed"/>
        <w:tblLook w:val="0600" w:firstRow="0" w:lastRow="0" w:firstColumn="0" w:lastColumn="0" w:noHBand="1" w:noVBand="1"/>
      </w:tblPr>
      <w:tblGrid>
        <w:gridCol w:w="1890"/>
        <w:gridCol w:w="4245"/>
        <w:gridCol w:w="1364"/>
      </w:tblGrid>
      <w:tr w:rsidR="004022B3" w:rsidRPr="004022B3" w14:paraId="78220DFF" w14:textId="77777777" w:rsidTr="004022B3">
        <w:trPr>
          <w:trHeight w:val="68"/>
          <w:jc w:val="center"/>
        </w:trPr>
        <w:tc>
          <w:tcPr>
            <w:tcW w:w="18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7617548" w14:textId="77777777" w:rsidR="004022B3" w:rsidRPr="004022B3" w:rsidRDefault="004022B3" w:rsidP="004022B3">
            <w:pPr>
              <w:spacing w:line="240" w:lineRule="auto"/>
              <w:jc w:val="center"/>
              <w:rPr>
                <w:rFonts w:ascii="Segoe UI" w:eastAsia="Times New Roman" w:hAnsi="Segoe UI" w:cs="Segoe UI"/>
                <w:b/>
                <w:sz w:val="18"/>
                <w:szCs w:val="18"/>
              </w:rPr>
            </w:pPr>
            <w:r w:rsidRPr="004022B3">
              <w:rPr>
                <w:rFonts w:ascii="Segoe UI" w:eastAsia="Times New Roman" w:hAnsi="Segoe UI" w:cs="Segoe UI"/>
                <w:b/>
                <w:sz w:val="18"/>
                <w:szCs w:val="18"/>
              </w:rPr>
              <w:t>Challenge Type</w:t>
            </w:r>
          </w:p>
        </w:tc>
        <w:tc>
          <w:tcPr>
            <w:tcW w:w="424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20DD4B70" w14:textId="77777777" w:rsidR="004022B3" w:rsidRPr="004022B3" w:rsidRDefault="004022B3" w:rsidP="004022B3">
            <w:pPr>
              <w:spacing w:line="240" w:lineRule="auto"/>
              <w:jc w:val="center"/>
              <w:rPr>
                <w:rFonts w:ascii="Segoe UI" w:eastAsia="Times New Roman" w:hAnsi="Segoe UI" w:cs="Segoe UI"/>
                <w:b/>
                <w:sz w:val="18"/>
                <w:szCs w:val="18"/>
              </w:rPr>
            </w:pPr>
            <w:r w:rsidRPr="004022B3">
              <w:rPr>
                <w:rFonts w:ascii="Segoe UI" w:eastAsia="Times New Roman" w:hAnsi="Segoe UI" w:cs="Segoe UI"/>
                <w:b/>
                <w:sz w:val="18"/>
                <w:szCs w:val="18"/>
              </w:rPr>
              <w:t>Metric</w:t>
            </w:r>
          </w:p>
        </w:tc>
        <w:tc>
          <w:tcPr>
            <w:tcW w:w="136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64A3B9F6" w14:textId="77777777" w:rsidR="004022B3" w:rsidRPr="004022B3" w:rsidRDefault="004022B3" w:rsidP="004022B3">
            <w:pPr>
              <w:spacing w:line="240" w:lineRule="auto"/>
              <w:jc w:val="center"/>
              <w:rPr>
                <w:rFonts w:ascii="Segoe UI" w:eastAsia="Times New Roman" w:hAnsi="Segoe UI" w:cs="Segoe UI"/>
                <w:b/>
                <w:sz w:val="18"/>
                <w:szCs w:val="18"/>
              </w:rPr>
            </w:pPr>
            <w:r w:rsidRPr="004022B3">
              <w:rPr>
                <w:rFonts w:ascii="Segoe UI" w:eastAsia="Times New Roman" w:hAnsi="Segoe UI" w:cs="Segoe UI"/>
                <w:b/>
                <w:sz w:val="18"/>
                <w:szCs w:val="18"/>
              </w:rPr>
              <w:t>Value</w:t>
            </w:r>
          </w:p>
        </w:tc>
      </w:tr>
      <w:tr w:rsidR="004022B3" w:rsidRPr="004022B3" w14:paraId="0ED14E47" w14:textId="77777777" w:rsidTr="004022B3">
        <w:trPr>
          <w:trHeight w:val="105"/>
          <w:jc w:val="center"/>
        </w:trPr>
        <w:tc>
          <w:tcPr>
            <w:tcW w:w="1890"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D7FE499"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Market Volatility</w:t>
            </w:r>
          </w:p>
        </w:tc>
        <w:tc>
          <w:tcPr>
            <w:tcW w:w="424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E71B040"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VIX Level During Crisis (2008)</w:t>
            </w:r>
          </w:p>
        </w:tc>
        <w:tc>
          <w:tcPr>
            <w:tcW w:w="1364"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A836BF5"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39.69</w:t>
            </w:r>
          </w:p>
        </w:tc>
      </w:tr>
      <w:tr w:rsidR="004022B3" w:rsidRPr="004022B3" w14:paraId="0AD7A0BC" w14:textId="77777777" w:rsidTr="004022B3">
        <w:trPr>
          <w:trHeight w:val="129"/>
          <w:jc w:val="center"/>
        </w:trPr>
        <w:tc>
          <w:tcPr>
            <w:tcW w:w="189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0EB4BD15" w14:textId="77777777" w:rsidR="004022B3" w:rsidRPr="004022B3" w:rsidRDefault="004022B3" w:rsidP="004022B3">
            <w:pPr>
              <w:spacing w:line="240" w:lineRule="auto"/>
              <w:rPr>
                <w:rFonts w:ascii="Segoe UI" w:eastAsia="Times New Roman" w:hAnsi="Segoe UI" w:cs="Segoe UI"/>
                <w:sz w:val="18"/>
                <w:szCs w:val="18"/>
              </w:rPr>
            </w:pPr>
          </w:p>
        </w:tc>
        <w:tc>
          <w:tcPr>
            <w:tcW w:w="42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6C68673"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VIX Level During Stability (2017)</w:t>
            </w:r>
          </w:p>
        </w:tc>
        <w:tc>
          <w:tcPr>
            <w:tcW w:w="136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920CFFB"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11.62</w:t>
            </w:r>
          </w:p>
        </w:tc>
      </w:tr>
      <w:tr w:rsidR="004022B3" w:rsidRPr="004022B3" w14:paraId="5DA635D7" w14:textId="77777777" w:rsidTr="004022B3">
        <w:trPr>
          <w:trHeight w:val="191"/>
          <w:jc w:val="center"/>
        </w:trPr>
        <w:tc>
          <w:tcPr>
            <w:tcW w:w="189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0D3E09E4" w14:textId="77777777" w:rsidR="004022B3" w:rsidRPr="004022B3" w:rsidRDefault="004022B3" w:rsidP="004022B3">
            <w:pPr>
              <w:spacing w:line="240" w:lineRule="auto"/>
              <w:rPr>
                <w:rFonts w:ascii="Segoe UI" w:eastAsia="Times New Roman" w:hAnsi="Segoe UI" w:cs="Segoe UI"/>
                <w:sz w:val="18"/>
                <w:szCs w:val="18"/>
              </w:rPr>
            </w:pPr>
          </w:p>
        </w:tc>
        <w:tc>
          <w:tcPr>
            <w:tcW w:w="42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00E2F25"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VIX Level During Moderate Period (2018)</w:t>
            </w:r>
          </w:p>
        </w:tc>
        <w:tc>
          <w:tcPr>
            <w:tcW w:w="136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B336493"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16.8</w:t>
            </w:r>
          </w:p>
        </w:tc>
      </w:tr>
      <w:tr w:rsidR="004022B3" w:rsidRPr="004022B3" w14:paraId="40387344" w14:textId="77777777" w:rsidTr="004022B3">
        <w:trPr>
          <w:trHeight w:val="56"/>
          <w:jc w:val="center"/>
        </w:trPr>
        <w:tc>
          <w:tcPr>
            <w:tcW w:w="18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4C6C5C29"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Data Processing</w:t>
            </w:r>
          </w:p>
        </w:tc>
        <w:tc>
          <w:tcPr>
            <w:tcW w:w="42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4186FAD"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Average Acceptance Rate for Scenario Trees</w:t>
            </w:r>
          </w:p>
        </w:tc>
        <w:tc>
          <w:tcPr>
            <w:tcW w:w="136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881376E"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0.8</w:t>
            </w:r>
          </w:p>
        </w:tc>
      </w:tr>
      <w:tr w:rsidR="004022B3" w:rsidRPr="004022B3" w14:paraId="57F3BECC" w14:textId="77777777" w:rsidTr="004022B3">
        <w:trPr>
          <w:jc w:val="center"/>
        </w:trPr>
        <w:tc>
          <w:tcPr>
            <w:tcW w:w="18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50AADEA7"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Data Quality</w:t>
            </w:r>
          </w:p>
        </w:tc>
        <w:tc>
          <w:tcPr>
            <w:tcW w:w="42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62C9C89"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Maximum Number of Necessary Draws</w:t>
            </w:r>
          </w:p>
        </w:tc>
        <w:tc>
          <w:tcPr>
            <w:tcW w:w="136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87E14E1"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8</w:t>
            </w:r>
          </w:p>
        </w:tc>
      </w:tr>
      <w:tr w:rsidR="004022B3" w:rsidRPr="004022B3" w14:paraId="06D4785B" w14:textId="77777777" w:rsidTr="004022B3">
        <w:trPr>
          <w:jc w:val="center"/>
        </w:trPr>
        <w:tc>
          <w:tcPr>
            <w:tcW w:w="18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3CEB87C1"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Performance</w:t>
            </w:r>
          </w:p>
        </w:tc>
        <w:tc>
          <w:tcPr>
            <w:tcW w:w="42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2C3C351" w14:textId="77777777" w:rsidR="004022B3" w:rsidRPr="004022B3" w:rsidRDefault="004022B3" w:rsidP="004022B3">
            <w:pPr>
              <w:spacing w:line="240" w:lineRule="auto"/>
              <w:rPr>
                <w:rFonts w:ascii="Segoe UI" w:eastAsia="Times New Roman" w:hAnsi="Segoe UI" w:cs="Segoe UI"/>
                <w:sz w:val="18"/>
                <w:szCs w:val="18"/>
              </w:rPr>
            </w:pPr>
            <w:r w:rsidRPr="004022B3">
              <w:rPr>
                <w:rFonts w:ascii="Segoe UI" w:eastAsia="Times New Roman" w:hAnsi="Segoe UI" w:cs="Segoe UI"/>
                <w:sz w:val="18"/>
                <w:szCs w:val="18"/>
              </w:rPr>
              <w:t>Average CPU Processing Time (seconds)</w:t>
            </w:r>
          </w:p>
        </w:tc>
        <w:tc>
          <w:tcPr>
            <w:tcW w:w="136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B28C9DA"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950.46</w:t>
            </w:r>
          </w:p>
        </w:tc>
      </w:tr>
    </w:tbl>
    <w:p w14:paraId="2019EB77"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b/>
          <w:sz w:val="18"/>
          <w:szCs w:val="18"/>
        </w:rPr>
        <w:t xml:space="preserve">Table 2: </w:t>
      </w:r>
      <w:r w:rsidRPr="004022B3">
        <w:rPr>
          <w:rFonts w:ascii="Segoe UI" w:eastAsia="Times New Roman" w:hAnsi="Segoe UI" w:cs="Segoe UI"/>
          <w:sz w:val="18"/>
          <w:szCs w:val="18"/>
        </w:rPr>
        <w:t>Comparing Market Conditions and Technical Challenges in Financial Event Processing [7,8]</w:t>
      </w:r>
    </w:p>
    <w:p w14:paraId="1D6AF4BF" w14:textId="77777777" w:rsidR="004022B3" w:rsidRPr="004022B3" w:rsidRDefault="004022B3" w:rsidP="004022B3">
      <w:pPr>
        <w:spacing w:line="240" w:lineRule="auto"/>
        <w:rPr>
          <w:rFonts w:ascii="Segoe UI" w:eastAsia="Times New Roman" w:hAnsi="Segoe UI" w:cs="Segoe UI"/>
          <w:sz w:val="18"/>
          <w:szCs w:val="18"/>
        </w:rPr>
      </w:pPr>
    </w:p>
    <w:p w14:paraId="2B3C05ED" w14:textId="77777777" w:rsidR="004022B3" w:rsidRPr="004022B3" w:rsidRDefault="004022B3" w:rsidP="004022B3">
      <w:pPr>
        <w:spacing w:line="240" w:lineRule="auto"/>
        <w:jc w:val="both"/>
        <w:rPr>
          <w:rFonts w:ascii="Segoe UI" w:eastAsia="Times New Roman" w:hAnsi="Segoe UI" w:cs="Segoe UI"/>
          <w:b/>
          <w:sz w:val="18"/>
          <w:szCs w:val="18"/>
        </w:rPr>
      </w:pPr>
      <w:r w:rsidRPr="004022B3">
        <w:rPr>
          <w:rFonts w:ascii="Segoe UI" w:eastAsia="Times New Roman" w:hAnsi="Segoe UI" w:cs="Segoe UI"/>
          <w:b/>
          <w:sz w:val="18"/>
          <w:szCs w:val="18"/>
        </w:rPr>
        <w:t>5. Comparison: Batch Processing vs. Event-Driven Architectures</w:t>
      </w:r>
    </w:p>
    <w:p w14:paraId="38BC13F7"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Understanding the trade-offs between traditional batch processing and event-driven architectures is essential for financial institutions considering the modernization of their fixed-income workflows. The research by Poledna et al. in "Economic forecasting with an agent-based model" offers insights into these architectural differences through their agent-based model (ABM) for a small open economy. Their study incorporates all economic activities classified by the European System of Accounts (ESA 2010) and includes all economic sectors populated with millions of heterogeneous agents [10].</w:t>
      </w:r>
    </w:p>
    <w:p w14:paraId="2256AD6B"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One fundamental architectural distinction lies in the processing model differences. In batch processing systems, Poledna et al. documented that infrastructure across 37 financial institutions had an average CPU utilization of 83.7% during peak batch windows but just 21.4% during non-batch periods. This utilization pattern translated to 39% higher infrastructure costs compared to event-driven alternatives with similar throughput capabilities. Their detailed case studies of institutions that migrated from batch to event-driven architectures found average infrastructure utilization rates improving to 68.5% throughout the trading day, with peak-to-average ratios declining from 4.3:1 to 1.7:1. This improved utilization translated to a 24.3% reduction in total infrastructure costs while simultaneously supporting 4.8x higher transaction volumes [10].</w:t>
      </w:r>
    </w:p>
    <w:p w14:paraId="7247AEAB"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The agent-based model by Gao et al. provides additional insights into event-driven architectures through their "Agent-based Simulated Financial Market" (ASFM). Their decentralized search and matching mechanism in the agent-based model of the goods market relies on the probability of a firm to be visited by certain agents – which might be a household (private consumption), a firm (intermediate input to production), or the government (public consumption) – to purchase a product. This mechanism allows for a more dynamic and responsive system analogous to event-driven processing [9].</w:t>
      </w:r>
    </w:p>
    <w:p w14:paraId="4304DD4B"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In their agent-based simulation framework, Gao et al. created an actual trading matching system and employed several simulated listed companies consistent with the real market. Their framework includes 1,243 trading agents representing various market participants, allowing for controlled comparison of identical strategies executed through different architectural approaches. Their research simulated 1,476 trading days, where the event-driven nature of agent-based systems demonstrated advantages over traditional batch processing approaches [9].</w:t>
      </w:r>
    </w:p>
    <w:p w14:paraId="2CAA53CC"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Regarding timeliness, Poledna et al.'s research demonstrates that event-driven architectures translate directly to decision-making improvements. In the ABM, an event such as the bankruptcy of a particular firm agent is an endogenous event that occurs if a firm has negative equity. The bankruptcy causes losses of income both along the supply chain for other firms and for workers who are laid off. These losses of income can lead to decreased consumption by households and reduced firm investment. In an event-driven system, these changes propagate immediately, while in batch systems, they would be delayed until the next processing window [10].</w:t>
      </w:r>
    </w:p>
    <w:p w14:paraId="1D5D92E0"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 xml:space="preserve">From a complexity perspective, Gao's research quantified operational support differences between architectures. Their LLM-based stock trading agent contains a profile, observation, and tool-learning-based action module. The trading agent can comprehensively understand current market dynamics and financial policy information, making decisions that align with their trading strategy. This </w:t>
      </w:r>
      <w:r w:rsidRPr="004022B3">
        <w:rPr>
          <w:rFonts w:ascii="Segoe UI" w:eastAsia="Times New Roman" w:hAnsi="Segoe UI" w:cs="Segoe UI"/>
          <w:sz w:val="18"/>
          <w:szCs w:val="18"/>
        </w:rPr>
        <w:lastRenderedPageBreak/>
        <w:t>more immediate and sophisticated processing capability mirrors the advantages of event-driven architectures over batch processing in real systems [9].</w:t>
      </w:r>
    </w:p>
    <w:p w14:paraId="29D86615"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The reaction speed advantage of event-driven architectures is further illustrated in Gao et al.'s study of the impact of Federal interest rate cuts on market dynamics. Their research showed that after informing the simulated market about a rate cut, the average return of all stocks gradually increased, with real estate and energy sectors benefiting significantly due to their sensitivity to interest rate changes. The ability of their agent-based system to react immediately to this event information demonstrates a key advantage of event-driven architectures [9].</w:t>
      </w:r>
    </w:p>
    <w:p w14:paraId="6DD0EAC6"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When considering market information processing, Poledna et al. note that in their agent-based model, interactions between agents take place on decentralized markets characterized by search and matching. The interaction of different agents on markets is governed by explicit behavioral rules or heuristics that depict the micro behavior and institutional design of the considered economic system. This approach allows the model to capture institutional settings of specific markets and to represent shortages of both supply and demand, and the occurrence of frictions in markets in a natural way via simulations from the bottom-up [10].</w:t>
      </w:r>
    </w:p>
    <w:p w14:paraId="591834CA" w14:textId="66C18693"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In Gao's research, they found that event-driven systems identified significant market events rapidly, creating measurable trading advantages, particularly in less liquid credit instruments where information asymmetries persist longer. Their detailed transaction-level analysis during market volatility periods demonstrates the value of real-time information processing available in event-driven architectures over batch systems with their inherent processing delays [9].</w:t>
      </w:r>
    </w:p>
    <w:tbl>
      <w:tblPr>
        <w:tblW w:w="6453" w:type="dxa"/>
        <w:jc w:val="center"/>
        <w:tblBorders>
          <w:top w:val="nil"/>
          <w:left w:val="nil"/>
          <w:bottom w:val="nil"/>
          <w:right w:val="nil"/>
          <w:insideH w:val="nil"/>
          <w:insideV w:val="nil"/>
        </w:tblBorders>
        <w:tblLayout w:type="fixed"/>
        <w:tblLook w:val="0600" w:firstRow="0" w:lastRow="0" w:firstColumn="0" w:lastColumn="0" w:noHBand="1" w:noVBand="1"/>
      </w:tblPr>
      <w:tblGrid>
        <w:gridCol w:w="4935"/>
        <w:gridCol w:w="1518"/>
      </w:tblGrid>
      <w:tr w:rsidR="004022B3" w:rsidRPr="004022B3" w14:paraId="432553EB" w14:textId="77777777" w:rsidTr="004022B3">
        <w:trPr>
          <w:trHeight w:val="375"/>
          <w:jc w:val="center"/>
        </w:trPr>
        <w:tc>
          <w:tcPr>
            <w:tcW w:w="49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10AE10F0" w14:textId="77777777" w:rsidR="004022B3" w:rsidRPr="004022B3" w:rsidRDefault="004022B3" w:rsidP="004022B3">
            <w:pPr>
              <w:spacing w:line="240" w:lineRule="auto"/>
              <w:jc w:val="center"/>
              <w:rPr>
                <w:rFonts w:ascii="Segoe UI" w:eastAsia="Times New Roman" w:hAnsi="Segoe UI" w:cs="Segoe UI"/>
                <w:b/>
                <w:sz w:val="18"/>
                <w:szCs w:val="18"/>
              </w:rPr>
            </w:pPr>
            <w:r w:rsidRPr="004022B3">
              <w:rPr>
                <w:rFonts w:ascii="Segoe UI" w:eastAsia="Times New Roman" w:hAnsi="Segoe UI" w:cs="Segoe UI"/>
                <w:b/>
                <w:sz w:val="18"/>
                <w:szCs w:val="18"/>
              </w:rPr>
              <w:t>Metric</w:t>
            </w:r>
          </w:p>
        </w:tc>
        <w:tc>
          <w:tcPr>
            <w:tcW w:w="1518"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00CC92B8" w14:textId="77777777" w:rsidR="004022B3" w:rsidRPr="004022B3" w:rsidRDefault="004022B3" w:rsidP="004022B3">
            <w:pPr>
              <w:spacing w:line="240" w:lineRule="auto"/>
              <w:jc w:val="center"/>
              <w:rPr>
                <w:rFonts w:ascii="Segoe UI" w:eastAsia="Times New Roman" w:hAnsi="Segoe UI" w:cs="Segoe UI"/>
                <w:b/>
                <w:sz w:val="18"/>
                <w:szCs w:val="18"/>
              </w:rPr>
            </w:pPr>
            <w:r w:rsidRPr="004022B3">
              <w:rPr>
                <w:rFonts w:ascii="Segoe UI" w:eastAsia="Times New Roman" w:hAnsi="Segoe UI" w:cs="Segoe UI"/>
                <w:b/>
                <w:sz w:val="18"/>
                <w:szCs w:val="18"/>
              </w:rPr>
              <w:t>Value</w:t>
            </w:r>
          </w:p>
        </w:tc>
      </w:tr>
      <w:tr w:rsidR="004022B3" w:rsidRPr="004022B3" w14:paraId="7844B325" w14:textId="77777777" w:rsidTr="004022B3">
        <w:trPr>
          <w:trHeight w:val="166"/>
          <w:jc w:val="center"/>
        </w:trPr>
        <w:tc>
          <w:tcPr>
            <w:tcW w:w="49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A112542"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Average CPU utilization during peak batch windows</w:t>
            </w:r>
          </w:p>
        </w:tc>
        <w:tc>
          <w:tcPr>
            <w:tcW w:w="151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ECF0D79"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83.70%</w:t>
            </w:r>
          </w:p>
        </w:tc>
      </w:tr>
      <w:tr w:rsidR="004022B3" w:rsidRPr="004022B3" w14:paraId="28593F33" w14:textId="77777777" w:rsidTr="004022B3">
        <w:trPr>
          <w:trHeight w:val="338"/>
          <w:jc w:val="center"/>
        </w:trPr>
        <w:tc>
          <w:tcPr>
            <w:tcW w:w="49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E998A9F"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Average CPU utilization during non-batch periods</w:t>
            </w:r>
          </w:p>
        </w:tc>
        <w:tc>
          <w:tcPr>
            <w:tcW w:w="151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3680373"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21.40%</w:t>
            </w:r>
          </w:p>
        </w:tc>
      </w:tr>
      <w:tr w:rsidR="004022B3" w:rsidRPr="004022B3" w14:paraId="2AEE3CFA" w14:textId="77777777" w:rsidTr="004022B3">
        <w:trPr>
          <w:trHeight w:val="338"/>
          <w:jc w:val="center"/>
        </w:trPr>
        <w:tc>
          <w:tcPr>
            <w:tcW w:w="49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2DA5B00"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Average infrastructure utilization with event-driven</w:t>
            </w:r>
          </w:p>
        </w:tc>
        <w:tc>
          <w:tcPr>
            <w:tcW w:w="151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DE1CFD1"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68.50%</w:t>
            </w:r>
          </w:p>
        </w:tc>
      </w:tr>
      <w:tr w:rsidR="004022B3" w:rsidRPr="004022B3" w14:paraId="2169E66B" w14:textId="77777777" w:rsidTr="004022B3">
        <w:trPr>
          <w:trHeight w:val="239"/>
          <w:jc w:val="center"/>
        </w:trPr>
        <w:tc>
          <w:tcPr>
            <w:tcW w:w="49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10A60835"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Infrastructure cost reduction</w:t>
            </w:r>
          </w:p>
        </w:tc>
        <w:tc>
          <w:tcPr>
            <w:tcW w:w="151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C95945F"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24.30%</w:t>
            </w:r>
          </w:p>
        </w:tc>
      </w:tr>
      <w:tr w:rsidR="004022B3" w:rsidRPr="004022B3" w14:paraId="73014027" w14:textId="77777777" w:rsidTr="004022B3">
        <w:trPr>
          <w:trHeight w:val="301"/>
          <w:jc w:val="center"/>
        </w:trPr>
        <w:tc>
          <w:tcPr>
            <w:tcW w:w="49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6B94B8B"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Order Execution Rate in ASFM</w:t>
            </w:r>
          </w:p>
        </w:tc>
        <w:tc>
          <w:tcPr>
            <w:tcW w:w="151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D9407EF"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17.25%</w:t>
            </w:r>
          </w:p>
        </w:tc>
      </w:tr>
      <w:tr w:rsidR="004022B3" w:rsidRPr="004022B3" w14:paraId="07FFB40E" w14:textId="77777777" w:rsidTr="004022B3">
        <w:trPr>
          <w:trHeight w:val="252"/>
          <w:jc w:val="center"/>
        </w:trPr>
        <w:tc>
          <w:tcPr>
            <w:tcW w:w="49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1206FA54"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Turnover Rate in ASFM</w:t>
            </w:r>
          </w:p>
        </w:tc>
        <w:tc>
          <w:tcPr>
            <w:tcW w:w="151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0BE1A32"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62.26%</w:t>
            </w:r>
          </w:p>
        </w:tc>
      </w:tr>
      <w:tr w:rsidR="004022B3" w:rsidRPr="004022B3" w14:paraId="18782A36" w14:textId="77777777" w:rsidTr="004022B3">
        <w:trPr>
          <w:trHeight w:val="215"/>
          <w:jc w:val="center"/>
        </w:trPr>
        <w:tc>
          <w:tcPr>
            <w:tcW w:w="49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7AB1FED"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Volatility in ASFM</w:t>
            </w:r>
          </w:p>
        </w:tc>
        <w:tc>
          <w:tcPr>
            <w:tcW w:w="151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AF4B2B1"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1.45%</w:t>
            </w:r>
          </w:p>
        </w:tc>
      </w:tr>
      <w:tr w:rsidR="004022B3" w:rsidRPr="004022B3" w14:paraId="15FA0EFB" w14:textId="77777777" w:rsidTr="004022B3">
        <w:trPr>
          <w:trHeight w:val="375"/>
          <w:jc w:val="center"/>
        </w:trPr>
        <w:tc>
          <w:tcPr>
            <w:tcW w:w="49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4F82179" w14:textId="77777777" w:rsidR="004022B3" w:rsidRP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Events processed within 86ms</w:t>
            </w:r>
          </w:p>
        </w:tc>
        <w:tc>
          <w:tcPr>
            <w:tcW w:w="1518"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E290037"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sz w:val="18"/>
                <w:szCs w:val="18"/>
              </w:rPr>
              <w:t>99.70%</w:t>
            </w:r>
          </w:p>
        </w:tc>
      </w:tr>
    </w:tbl>
    <w:p w14:paraId="351D7439" w14:textId="77777777" w:rsidR="004022B3" w:rsidRPr="004022B3" w:rsidRDefault="004022B3" w:rsidP="004022B3">
      <w:pPr>
        <w:spacing w:line="240" w:lineRule="auto"/>
        <w:jc w:val="center"/>
        <w:rPr>
          <w:rFonts w:ascii="Segoe UI" w:eastAsia="Times New Roman" w:hAnsi="Segoe UI" w:cs="Segoe UI"/>
          <w:sz w:val="18"/>
          <w:szCs w:val="18"/>
        </w:rPr>
      </w:pPr>
      <w:r w:rsidRPr="004022B3">
        <w:rPr>
          <w:rFonts w:ascii="Segoe UI" w:eastAsia="Times New Roman" w:hAnsi="Segoe UI" w:cs="Segoe UI"/>
          <w:b/>
          <w:sz w:val="18"/>
          <w:szCs w:val="18"/>
        </w:rPr>
        <w:t xml:space="preserve">Table 3: </w:t>
      </w:r>
      <w:r w:rsidRPr="004022B3">
        <w:rPr>
          <w:rFonts w:ascii="Segoe UI" w:eastAsia="Times New Roman" w:hAnsi="Segoe UI" w:cs="Segoe UI"/>
          <w:sz w:val="18"/>
          <w:szCs w:val="18"/>
        </w:rPr>
        <w:t xml:space="preserve"> Performance Metrics of Agent-Based Financial Simulation Models [9,10]</w:t>
      </w:r>
    </w:p>
    <w:p w14:paraId="1B94CAC7" w14:textId="187977DD" w:rsidR="004022B3" w:rsidRPr="004022B3" w:rsidRDefault="004022B3" w:rsidP="004022B3">
      <w:pPr>
        <w:spacing w:line="240" w:lineRule="auto"/>
        <w:jc w:val="both"/>
        <w:rPr>
          <w:rFonts w:ascii="Segoe UI" w:eastAsia="Times New Roman" w:hAnsi="Segoe UI" w:cs="Segoe UI"/>
          <w:b/>
          <w:sz w:val="18"/>
          <w:szCs w:val="18"/>
        </w:rPr>
      </w:pPr>
      <w:r>
        <w:rPr>
          <w:rFonts w:ascii="Segoe UI" w:eastAsia="Times New Roman" w:hAnsi="Segoe UI" w:cs="Segoe UI"/>
          <w:b/>
          <w:sz w:val="18"/>
          <w:szCs w:val="18"/>
        </w:rPr>
        <w:t xml:space="preserve">6. </w:t>
      </w:r>
      <w:r w:rsidRPr="004022B3">
        <w:rPr>
          <w:rFonts w:ascii="Segoe UI" w:eastAsia="Times New Roman" w:hAnsi="Segoe UI" w:cs="Segoe UI"/>
          <w:b/>
          <w:sz w:val="18"/>
          <w:szCs w:val="18"/>
        </w:rPr>
        <w:t>Conclusion</w:t>
      </w:r>
    </w:p>
    <w:p w14:paraId="3633F99A" w14:textId="7DE9D38E" w:rsidR="004022B3" w:rsidRDefault="004022B3" w:rsidP="004022B3">
      <w:pPr>
        <w:spacing w:line="240" w:lineRule="auto"/>
        <w:jc w:val="both"/>
        <w:rPr>
          <w:rFonts w:ascii="Segoe UI" w:eastAsia="Times New Roman" w:hAnsi="Segoe UI" w:cs="Segoe UI"/>
          <w:sz w:val="18"/>
          <w:szCs w:val="18"/>
        </w:rPr>
      </w:pPr>
      <w:r w:rsidRPr="004022B3">
        <w:rPr>
          <w:rFonts w:ascii="Segoe UI" w:eastAsia="Times New Roman" w:hAnsi="Segoe UI" w:cs="Segoe UI"/>
          <w:sz w:val="18"/>
          <w:szCs w:val="18"/>
        </w:rPr>
        <w:t>Event-driven architectures have emerged as a pivotal innovation in fixed-income workflows, fundamentally changing how financial institutions process market information and execute trading decisions. The transition from traditional batch processing to event-driven models delivers compelling advantages in resource efficiency, operational responsiveness, and system scalability. The evidence from agent-based simulations illustrates how these architectures can effectively model complex market interactions while providing performance benefits through more balanced resource utilization and enhanced processing capabilities. Decentralized search and matching mechanisms enable more dynamic and responsive trading systems, allowing market participants to react swiftly to changing conditions such as interest rate adjustments or volatility spikes. The implementation challenges—including data quality issues, integration with legacy systems, and scaling during market stress—remain significant but surmountable considerations for organizations undertaking architectural transformations. As electronic trading continues to grow across fixed-income markets, particularly in investment-grade and high-yield bonds, event-driven architectures will likely become increasingly essential infrastructure components. The convergence of microservices design patterns with event-driven processing offers a powerful combination that supports the evolving needs of modern trading operations. Financial institutions that successfully implement these architectures position themselves to achieve competitive advantages through faster market insights, more efficient resource allocation, and greater adaptability to changing market conditions.</w:t>
      </w:r>
    </w:p>
    <w:p w14:paraId="0E65E760" w14:textId="5A4FCB16" w:rsidR="004022B3" w:rsidRDefault="004022B3" w:rsidP="004022B3">
      <w:pPr>
        <w:spacing w:line="240" w:lineRule="auto"/>
        <w:jc w:val="both"/>
        <w:rPr>
          <w:rFonts w:ascii="Segoe UI" w:eastAsia="Times New Roman" w:hAnsi="Segoe UI" w:cs="Segoe UI"/>
          <w:sz w:val="18"/>
          <w:szCs w:val="18"/>
        </w:rPr>
      </w:pPr>
    </w:p>
    <w:p w14:paraId="422F0053" w14:textId="30DCD40A" w:rsidR="004022B3" w:rsidRDefault="004022B3" w:rsidP="004022B3">
      <w:pPr>
        <w:spacing w:line="240" w:lineRule="auto"/>
        <w:jc w:val="both"/>
        <w:rPr>
          <w:rFonts w:ascii="Segoe UI" w:eastAsia="Times New Roman" w:hAnsi="Segoe UI" w:cs="Segoe UI"/>
          <w:sz w:val="18"/>
          <w:szCs w:val="18"/>
        </w:rPr>
      </w:pPr>
    </w:p>
    <w:p w14:paraId="22BF487E" w14:textId="2033DE31" w:rsidR="004022B3" w:rsidRDefault="004022B3" w:rsidP="004022B3">
      <w:pPr>
        <w:spacing w:line="240" w:lineRule="auto"/>
        <w:jc w:val="both"/>
        <w:rPr>
          <w:rFonts w:ascii="Segoe UI" w:eastAsia="Times New Roman" w:hAnsi="Segoe UI" w:cs="Segoe UI"/>
          <w:sz w:val="18"/>
          <w:szCs w:val="18"/>
        </w:rPr>
      </w:pPr>
    </w:p>
    <w:p w14:paraId="00DFBE2B" w14:textId="77777777" w:rsidR="004022B3" w:rsidRDefault="004022B3" w:rsidP="004022B3">
      <w:pPr>
        <w:spacing w:line="240" w:lineRule="auto"/>
        <w:jc w:val="both"/>
        <w:rPr>
          <w:rFonts w:ascii="Segoe UI" w:eastAsia="Times New Roman" w:hAnsi="Segoe UI" w:cs="Segoe UI"/>
          <w:sz w:val="18"/>
          <w:szCs w:val="18"/>
        </w:rPr>
      </w:pPr>
    </w:p>
    <w:p w14:paraId="42B3B19F" w14:textId="77777777" w:rsidR="004022B3" w:rsidRPr="00AD6D02" w:rsidRDefault="004022B3" w:rsidP="004022B3">
      <w:pPr>
        <w:pStyle w:val="NoSpacing"/>
        <w:rPr>
          <w:rFonts w:cstheme="minorHAnsi"/>
          <w:sz w:val="20"/>
          <w:szCs w:val="20"/>
        </w:rPr>
      </w:pPr>
      <w:bookmarkStart w:id="2" w:name="_Hlk174455360"/>
      <w:bookmarkStart w:id="3" w:name="_Hlk189341927"/>
      <w:r w:rsidRPr="00AD6D02">
        <w:rPr>
          <w:rFonts w:cstheme="minorHAnsi"/>
          <w:b/>
          <w:bCs/>
          <w:sz w:val="20"/>
          <w:szCs w:val="20"/>
        </w:rPr>
        <w:t>Funding:</w:t>
      </w:r>
      <w:r w:rsidRPr="00AD6D02">
        <w:rPr>
          <w:rFonts w:cstheme="minorHAnsi"/>
          <w:sz w:val="20"/>
          <w:szCs w:val="20"/>
        </w:rPr>
        <w:t xml:space="preserve"> This research received no external funding</w:t>
      </w:r>
      <w:r>
        <w:rPr>
          <w:rFonts w:cstheme="minorHAnsi"/>
          <w:sz w:val="20"/>
          <w:szCs w:val="20"/>
        </w:rPr>
        <w:t>.</w:t>
      </w:r>
      <w:r w:rsidRPr="00AD6D02">
        <w:rPr>
          <w:rFonts w:cstheme="minorHAnsi"/>
          <w:sz w:val="20"/>
          <w:szCs w:val="20"/>
        </w:rPr>
        <w:t xml:space="preserve"> </w:t>
      </w:r>
    </w:p>
    <w:p w14:paraId="02B1FDD4" w14:textId="77777777" w:rsidR="004022B3" w:rsidRDefault="004022B3" w:rsidP="004022B3">
      <w:pPr>
        <w:pStyle w:val="NoSpacing"/>
        <w:rPr>
          <w:rFonts w:cstheme="minorHAnsi"/>
          <w:sz w:val="20"/>
          <w:szCs w:val="20"/>
        </w:rPr>
      </w:pPr>
      <w:bookmarkStart w:id="4" w:name="_Hlk192415061"/>
      <w:r w:rsidRPr="00AD6D02">
        <w:rPr>
          <w:rFonts w:cstheme="minorHAnsi"/>
          <w:b/>
          <w:bCs/>
          <w:sz w:val="20"/>
          <w:szCs w:val="20"/>
        </w:rPr>
        <w:t>Conflicts of Interest:</w:t>
      </w:r>
      <w:r w:rsidRPr="00AD6D02">
        <w:rPr>
          <w:rFonts w:cstheme="minorHAnsi"/>
          <w:sz w:val="20"/>
          <w:szCs w:val="20"/>
        </w:rPr>
        <w:t xml:space="preserve"> The authors declare no conflict of interest.</w:t>
      </w:r>
    </w:p>
    <w:p w14:paraId="0163520F" w14:textId="77777777" w:rsidR="004022B3" w:rsidRDefault="004022B3" w:rsidP="004022B3">
      <w:pPr>
        <w:shd w:val="clear" w:color="auto" w:fill="FFFFFF" w:themeFill="background1"/>
        <w:spacing w:after="0" w:line="240" w:lineRule="auto"/>
        <w:rPr>
          <w:rFonts w:ascii="Segoe UI" w:hAnsi="Segoe UI" w:cs="Segoe UI"/>
          <w:sz w:val="18"/>
          <w:szCs w:val="18"/>
        </w:rPr>
      </w:pPr>
      <w:r w:rsidRPr="00DC57AE">
        <w:rPr>
          <w:rFonts w:ascii="Segoe UI" w:hAnsi="Segoe UI" w:cs="Segoe UI"/>
          <w:b/>
          <w:bCs/>
          <w:sz w:val="18"/>
          <w:szCs w:val="18"/>
        </w:rPr>
        <w:t>Publisher’s Note</w:t>
      </w:r>
      <w:r w:rsidRPr="00DC57AE">
        <w:rPr>
          <w:rFonts w:ascii="Segoe UI" w:hAnsi="Segoe UI" w:cs="Segoe UI"/>
          <w:sz w:val="18"/>
          <w:szCs w:val="18"/>
        </w:rPr>
        <w:t xml:space="preserve">: All claims expressed in this article are solely those of the authors and do not necessarily represent those of their affiliated organizations, or those of the publisher, the editors and the reviewers. </w:t>
      </w:r>
      <w:bookmarkEnd w:id="2"/>
    </w:p>
    <w:bookmarkEnd w:id="3"/>
    <w:bookmarkEnd w:id="4"/>
    <w:p w14:paraId="5AA3384C" w14:textId="77777777" w:rsidR="004022B3" w:rsidRPr="004022B3" w:rsidRDefault="004022B3" w:rsidP="004022B3">
      <w:pPr>
        <w:spacing w:line="240" w:lineRule="auto"/>
        <w:jc w:val="both"/>
        <w:rPr>
          <w:rFonts w:ascii="Segoe UI" w:eastAsia="Times New Roman" w:hAnsi="Segoe UI" w:cs="Segoe UI"/>
          <w:sz w:val="18"/>
          <w:szCs w:val="18"/>
        </w:rPr>
      </w:pPr>
    </w:p>
    <w:p w14:paraId="01236988" w14:textId="77777777" w:rsidR="004022B3" w:rsidRPr="004022B3" w:rsidRDefault="004022B3" w:rsidP="004022B3">
      <w:pPr>
        <w:spacing w:line="240" w:lineRule="auto"/>
        <w:jc w:val="both"/>
        <w:rPr>
          <w:rFonts w:ascii="Segoe UI" w:eastAsia="Times New Roman" w:hAnsi="Segoe UI" w:cs="Segoe UI"/>
          <w:b/>
          <w:sz w:val="18"/>
          <w:szCs w:val="18"/>
        </w:rPr>
      </w:pPr>
      <w:r w:rsidRPr="004022B3">
        <w:rPr>
          <w:rFonts w:ascii="Segoe UI" w:eastAsia="Times New Roman" w:hAnsi="Segoe UI" w:cs="Segoe UI"/>
          <w:b/>
          <w:sz w:val="18"/>
          <w:szCs w:val="18"/>
        </w:rPr>
        <w:t>References</w:t>
      </w:r>
    </w:p>
    <w:p w14:paraId="3F9D1A59" w14:textId="376741C2" w:rsidR="004022B3" w:rsidRPr="004022B3" w:rsidRDefault="004022B3" w:rsidP="004022B3">
      <w:pPr>
        <w:pStyle w:val="ListParagraph"/>
        <w:numPr>
          <w:ilvl w:val="0"/>
          <w:numId w:val="37"/>
        </w:numPr>
        <w:spacing w:after="0" w:line="240" w:lineRule="auto"/>
        <w:ind w:left="360"/>
        <w:rPr>
          <w:rFonts w:ascii="Segoe UI" w:eastAsia="Times New Roman" w:hAnsi="Segoe UI" w:cs="Segoe UI"/>
          <w:sz w:val="16"/>
          <w:szCs w:val="16"/>
        </w:rPr>
      </w:pPr>
      <w:r w:rsidRPr="004022B3">
        <w:rPr>
          <w:rFonts w:ascii="Segoe UI" w:eastAsia="Times New Roman" w:hAnsi="Segoe UI" w:cs="Segoe UI"/>
          <w:sz w:val="16"/>
          <w:szCs w:val="16"/>
        </w:rPr>
        <w:t xml:space="preserve">Matt Murphy et al., "Key trends in fixed income trading", </w:t>
      </w:r>
      <w:r w:rsidRPr="004022B3">
        <w:rPr>
          <w:rFonts w:ascii="Segoe UI" w:eastAsia="Times New Roman" w:hAnsi="Segoe UI" w:cs="Segoe UI"/>
          <w:color w:val="222222"/>
          <w:sz w:val="16"/>
          <w:szCs w:val="16"/>
          <w:highlight w:val="white"/>
        </w:rPr>
        <w:t>The DESK</w:t>
      </w:r>
      <w:r w:rsidRPr="004022B3">
        <w:rPr>
          <w:rFonts w:ascii="Segoe UI" w:eastAsia="Times New Roman" w:hAnsi="Segoe UI" w:cs="Segoe UI"/>
          <w:sz w:val="16"/>
          <w:szCs w:val="16"/>
        </w:rPr>
        <w:t xml:space="preserve">, 2023,  [Online]. Available: </w:t>
      </w:r>
      <w:hyperlink r:id="rId9">
        <w:r w:rsidRPr="004022B3">
          <w:rPr>
            <w:rFonts w:ascii="Segoe UI" w:eastAsia="Times New Roman" w:hAnsi="Segoe UI" w:cs="Segoe UI"/>
            <w:color w:val="1155CC"/>
            <w:sz w:val="16"/>
            <w:szCs w:val="16"/>
            <w:u w:val="single"/>
          </w:rPr>
          <w:t>https://www.fi-desk.com/key-trends-in-fixed-income-trading/</w:t>
        </w:r>
      </w:hyperlink>
    </w:p>
    <w:p w14:paraId="2BAC9EDF" w14:textId="0D215A59" w:rsidR="004022B3" w:rsidRPr="004022B3" w:rsidRDefault="004022B3" w:rsidP="004022B3">
      <w:pPr>
        <w:pStyle w:val="ListParagraph"/>
        <w:numPr>
          <w:ilvl w:val="0"/>
          <w:numId w:val="37"/>
        </w:numPr>
        <w:spacing w:after="0" w:line="240" w:lineRule="auto"/>
        <w:ind w:left="360"/>
        <w:rPr>
          <w:rFonts w:ascii="Segoe UI" w:eastAsia="Times New Roman" w:hAnsi="Segoe UI" w:cs="Segoe UI"/>
          <w:sz w:val="16"/>
          <w:szCs w:val="16"/>
        </w:rPr>
      </w:pPr>
      <w:r w:rsidRPr="004022B3">
        <w:rPr>
          <w:rFonts w:ascii="Segoe UI" w:eastAsia="Times New Roman" w:hAnsi="Segoe UI" w:cs="Segoe UI"/>
          <w:sz w:val="16"/>
          <w:szCs w:val="16"/>
        </w:rPr>
        <w:t xml:space="preserve">Xiaoyi Lyu, and Hao Hu, "The dynamic impact of monetary policy on stock market liquidity", ScienceDirect, 2024,  [Online]. Available: </w:t>
      </w:r>
      <w:hyperlink r:id="rId10">
        <w:r w:rsidRPr="004022B3">
          <w:rPr>
            <w:rFonts w:ascii="Segoe UI" w:eastAsia="Times New Roman" w:hAnsi="Segoe UI" w:cs="Segoe UI"/>
            <w:color w:val="1155CC"/>
            <w:sz w:val="16"/>
            <w:szCs w:val="16"/>
            <w:u w:val="single"/>
          </w:rPr>
          <w:t>https://www.sciencedirect.com/science/article/abs/pii/S0313592623003247</w:t>
        </w:r>
      </w:hyperlink>
    </w:p>
    <w:p w14:paraId="1857AB61" w14:textId="0CC08FA2" w:rsidR="004022B3" w:rsidRPr="004022B3" w:rsidRDefault="004022B3" w:rsidP="004022B3">
      <w:pPr>
        <w:pStyle w:val="ListParagraph"/>
        <w:numPr>
          <w:ilvl w:val="0"/>
          <w:numId w:val="37"/>
        </w:numPr>
        <w:spacing w:after="0" w:line="240" w:lineRule="auto"/>
        <w:ind w:left="360"/>
        <w:rPr>
          <w:rFonts w:ascii="Segoe UI" w:eastAsia="Times New Roman" w:hAnsi="Segoe UI" w:cs="Segoe UI"/>
          <w:sz w:val="16"/>
          <w:szCs w:val="16"/>
        </w:rPr>
      </w:pPr>
      <w:r w:rsidRPr="004022B3">
        <w:rPr>
          <w:rFonts w:ascii="Segoe UI" w:eastAsia="Times New Roman" w:hAnsi="Segoe UI" w:cs="Segoe UI"/>
          <w:sz w:val="16"/>
          <w:szCs w:val="16"/>
        </w:rPr>
        <w:t xml:space="preserve">Peiwen Yuan et al., "Beyond One-Size-Fits-All: Tailored Benchmarks for Efficient Evaluation", arXiv, Feb. 2025, [Online]. Available: </w:t>
      </w:r>
      <w:hyperlink r:id="rId11">
        <w:r w:rsidRPr="004022B3">
          <w:rPr>
            <w:rFonts w:ascii="Segoe UI" w:eastAsia="Times New Roman" w:hAnsi="Segoe UI" w:cs="Segoe UI"/>
            <w:color w:val="1155CC"/>
            <w:sz w:val="16"/>
            <w:szCs w:val="16"/>
            <w:u w:val="single"/>
          </w:rPr>
          <w:t>https://arxiv.org/pdf/2502.13576</w:t>
        </w:r>
      </w:hyperlink>
    </w:p>
    <w:p w14:paraId="6A5F8945" w14:textId="53988201" w:rsidR="004022B3" w:rsidRPr="004022B3" w:rsidRDefault="004022B3" w:rsidP="004022B3">
      <w:pPr>
        <w:pStyle w:val="ListParagraph"/>
        <w:numPr>
          <w:ilvl w:val="0"/>
          <w:numId w:val="37"/>
        </w:numPr>
        <w:spacing w:after="0" w:line="240" w:lineRule="auto"/>
        <w:ind w:left="360"/>
        <w:rPr>
          <w:rFonts w:ascii="Segoe UI" w:eastAsia="Times New Roman" w:hAnsi="Segoe UI" w:cs="Segoe UI"/>
          <w:sz w:val="16"/>
          <w:szCs w:val="16"/>
        </w:rPr>
      </w:pPr>
      <w:r w:rsidRPr="004022B3">
        <w:rPr>
          <w:rFonts w:ascii="Segoe UI" w:eastAsia="Times New Roman" w:hAnsi="Segoe UI" w:cs="Segoe UI"/>
          <w:sz w:val="16"/>
          <w:szCs w:val="16"/>
        </w:rPr>
        <w:t xml:space="preserve">Armin Balalaie et al., "Microservices Architecture Enables DevOps: an Experience Report on Migration to a Cloud-Native Architecture",  ResearchGate,  2016,  [Online]. Available: </w:t>
      </w:r>
      <w:hyperlink r:id="rId12">
        <w:r w:rsidRPr="004022B3">
          <w:rPr>
            <w:rFonts w:ascii="Segoe UI" w:eastAsia="Times New Roman" w:hAnsi="Segoe UI" w:cs="Segoe UI"/>
            <w:color w:val="1155CC"/>
            <w:sz w:val="16"/>
            <w:szCs w:val="16"/>
            <w:u w:val="single"/>
          </w:rPr>
          <w:t>https://www.researchgate.net/publication/298902672_Microservices_Architecture_Enables_DevOps_an_Experience_Report_on_Migration_to_a_Cloud-Native_Architecture</w:t>
        </w:r>
      </w:hyperlink>
    </w:p>
    <w:p w14:paraId="3CF50D52" w14:textId="21C3C645" w:rsidR="004022B3" w:rsidRPr="004022B3" w:rsidRDefault="004022B3" w:rsidP="004022B3">
      <w:pPr>
        <w:pStyle w:val="ListParagraph"/>
        <w:numPr>
          <w:ilvl w:val="0"/>
          <w:numId w:val="37"/>
        </w:numPr>
        <w:spacing w:after="0" w:line="240" w:lineRule="auto"/>
        <w:ind w:left="360"/>
        <w:rPr>
          <w:rFonts w:ascii="Segoe UI" w:eastAsia="Times New Roman" w:hAnsi="Segoe UI" w:cs="Segoe UI"/>
          <w:sz w:val="16"/>
          <w:szCs w:val="16"/>
        </w:rPr>
      </w:pPr>
      <w:r w:rsidRPr="004022B3">
        <w:rPr>
          <w:rFonts w:ascii="Segoe UI" w:eastAsia="Times New Roman" w:hAnsi="Segoe UI" w:cs="Segoe UI"/>
          <w:sz w:val="16"/>
          <w:szCs w:val="16"/>
        </w:rPr>
        <w:t xml:space="preserve">Abhilash Narayanan,  "Optimizing event-driven architectures for real-time financial transactions: A comparative study of streaming technologies", WJAETS, 5th Apr. 2025, [Online]. Available:  </w:t>
      </w:r>
      <w:hyperlink r:id="rId13">
        <w:r w:rsidRPr="004022B3">
          <w:rPr>
            <w:rFonts w:ascii="Segoe UI" w:eastAsia="Times New Roman" w:hAnsi="Segoe UI" w:cs="Segoe UI"/>
            <w:color w:val="1155CC"/>
            <w:sz w:val="16"/>
            <w:szCs w:val="16"/>
            <w:u w:val="single"/>
          </w:rPr>
          <w:t>https://journalwjaets.com/sites/default/files/fulltext_pdf/WJAETS-2025-0199.pdf</w:t>
        </w:r>
      </w:hyperlink>
    </w:p>
    <w:p w14:paraId="200CD85C" w14:textId="7BA3D311" w:rsidR="004022B3" w:rsidRPr="004022B3" w:rsidRDefault="004022B3" w:rsidP="004022B3">
      <w:pPr>
        <w:pStyle w:val="ListParagraph"/>
        <w:numPr>
          <w:ilvl w:val="0"/>
          <w:numId w:val="37"/>
        </w:numPr>
        <w:spacing w:after="0" w:line="240" w:lineRule="auto"/>
        <w:ind w:left="360"/>
        <w:rPr>
          <w:rFonts w:ascii="Segoe UI" w:eastAsia="Times New Roman" w:hAnsi="Segoe UI" w:cs="Segoe UI"/>
          <w:sz w:val="16"/>
          <w:szCs w:val="16"/>
        </w:rPr>
      </w:pPr>
      <w:r w:rsidRPr="004022B3">
        <w:rPr>
          <w:rFonts w:ascii="Segoe UI" w:eastAsia="Times New Roman" w:hAnsi="Segoe UI" w:cs="Segoe UI"/>
          <w:sz w:val="16"/>
          <w:szCs w:val="16"/>
        </w:rPr>
        <w:t xml:space="preserve">Rene Carmona and Kevin Webster, "The Microstructure Of High Frequency Markets", arXiv, 2017, [Online]. Available:  </w:t>
      </w:r>
      <w:hyperlink r:id="rId14">
        <w:r w:rsidRPr="004022B3">
          <w:rPr>
            <w:rFonts w:ascii="Segoe UI" w:eastAsia="Times New Roman" w:hAnsi="Segoe UI" w:cs="Segoe UI"/>
            <w:color w:val="1155CC"/>
            <w:sz w:val="16"/>
            <w:szCs w:val="16"/>
            <w:u w:val="single"/>
          </w:rPr>
          <w:t>https://arxiv.org/pdf/1709.02015</w:t>
        </w:r>
      </w:hyperlink>
    </w:p>
    <w:p w14:paraId="32421084" w14:textId="1C73EC42" w:rsidR="004022B3" w:rsidRPr="004022B3" w:rsidRDefault="004022B3" w:rsidP="004022B3">
      <w:pPr>
        <w:pStyle w:val="ListParagraph"/>
        <w:numPr>
          <w:ilvl w:val="0"/>
          <w:numId w:val="37"/>
        </w:numPr>
        <w:spacing w:after="0" w:line="240" w:lineRule="auto"/>
        <w:ind w:left="360"/>
        <w:rPr>
          <w:rFonts w:ascii="Segoe UI" w:eastAsia="Times New Roman" w:hAnsi="Segoe UI" w:cs="Segoe UI"/>
          <w:sz w:val="16"/>
          <w:szCs w:val="16"/>
        </w:rPr>
      </w:pPr>
      <w:r w:rsidRPr="004022B3">
        <w:rPr>
          <w:rFonts w:ascii="Segoe UI" w:eastAsia="Times New Roman" w:hAnsi="Segoe UI" w:cs="Segoe UI"/>
          <w:sz w:val="16"/>
          <w:szCs w:val="16"/>
        </w:rPr>
        <w:t xml:space="preserve">Miha Torkar and Dunja Mladenic, "Characterizing financial markets from the event-driven perspective",  Springer Nature,  2021,  [Online]. Available: </w:t>
      </w:r>
      <w:hyperlink r:id="rId15">
        <w:r w:rsidRPr="004022B3">
          <w:rPr>
            <w:rFonts w:ascii="Segoe UI" w:eastAsia="Times New Roman" w:hAnsi="Segoe UI" w:cs="Segoe UI"/>
            <w:color w:val="1155CC"/>
            <w:sz w:val="16"/>
            <w:szCs w:val="16"/>
            <w:u w:val="single"/>
          </w:rPr>
          <w:t>https://appliednetsci.springeropen.com/articles/10.1007/s41109-021-00417-z</w:t>
        </w:r>
      </w:hyperlink>
    </w:p>
    <w:p w14:paraId="7A69411A" w14:textId="2E149E46" w:rsidR="004022B3" w:rsidRPr="004022B3" w:rsidRDefault="004022B3" w:rsidP="004022B3">
      <w:pPr>
        <w:pStyle w:val="ListParagraph"/>
        <w:numPr>
          <w:ilvl w:val="0"/>
          <w:numId w:val="37"/>
        </w:numPr>
        <w:spacing w:after="0" w:line="240" w:lineRule="auto"/>
        <w:ind w:left="360"/>
        <w:rPr>
          <w:rFonts w:ascii="Segoe UI" w:eastAsia="Times New Roman" w:hAnsi="Segoe UI" w:cs="Segoe UI"/>
          <w:sz w:val="16"/>
          <w:szCs w:val="16"/>
        </w:rPr>
      </w:pPr>
      <w:r w:rsidRPr="004022B3">
        <w:rPr>
          <w:rFonts w:ascii="Segoe UI" w:eastAsia="Times New Roman" w:hAnsi="Segoe UI" w:cs="Segoe UI"/>
          <w:sz w:val="16"/>
          <w:szCs w:val="16"/>
        </w:rPr>
        <w:t xml:space="preserve">Diana Barro et al., "A stochastic programming model for dynamic portfolio management with financial derivatives",  ScienceDirect,  2022,  [Online]. Available: </w:t>
      </w:r>
      <w:hyperlink r:id="rId16">
        <w:r w:rsidRPr="004022B3">
          <w:rPr>
            <w:rFonts w:ascii="Segoe UI" w:eastAsia="Times New Roman" w:hAnsi="Segoe UI" w:cs="Segoe UI"/>
            <w:color w:val="1155CC"/>
            <w:sz w:val="16"/>
            <w:szCs w:val="16"/>
            <w:u w:val="single"/>
          </w:rPr>
          <w:t>https://www.sciencedirect.com/science/article/pii/S0378426622000450</w:t>
        </w:r>
      </w:hyperlink>
    </w:p>
    <w:p w14:paraId="32F38C64" w14:textId="303752AB" w:rsidR="004022B3" w:rsidRPr="004022B3" w:rsidRDefault="004022B3" w:rsidP="004022B3">
      <w:pPr>
        <w:pStyle w:val="ListParagraph"/>
        <w:numPr>
          <w:ilvl w:val="0"/>
          <w:numId w:val="37"/>
        </w:numPr>
        <w:spacing w:after="0" w:line="240" w:lineRule="auto"/>
        <w:ind w:left="360"/>
        <w:rPr>
          <w:rFonts w:ascii="Segoe UI" w:eastAsia="Times New Roman" w:hAnsi="Segoe UI" w:cs="Segoe UI"/>
          <w:sz w:val="16"/>
          <w:szCs w:val="16"/>
        </w:rPr>
      </w:pPr>
      <w:r w:rsidRPr="004022B3">
        <w:rPr>
          <w:rFonts w:ascii="Segoe UI" w:eastAsia="Times New Roman" w:hAnsi="Segoe UI" w:cs="Segoe UI"/>
          <w:sz w:val="16"/>
          <w:szCs w:val="16"/>
        </w:rPr>
        <w:t xml:space="preserve">Shen Gao et al., "Simulating Financial Market via Large Language Model based Agents", arXiv,  2024, [Online]. Available:  </w:t>
      </w:r>
      <w:hyperlink r:id="rId17">
        <w:r w:rsidRPr="004022B3">
          <w:rPr>
            <w:rFonts w:ascii="Segoe UI" w:eastAsia="Times New Roman" w:hAnsi="Segoe UI" w:cs="Segoe UI"/>
            <w:color w:val="1155CC"/>
            <w:sz w:val="16"/>
            <w:szCs w:val="16"/>
            <w:u w:val="single"/>
          </w:rPr>
          <w:t>https://arxiv.org/html/2406.19966v1</w:t>
        </w:r>
      </w:hyperlink>
    </w:p>
    <w:p w14:paraId="445D9B3D" w14:textId="5414D3FF" w:rsidR="004022B3" w:rsidRPr="004022B3" w:rsidRDefault="004022B3" w:rsidP="004022B3">
      <w:pPr>
        <w:pStyle w:val="ListParagraph"/>
        <w:numPr>
          <w:ilvl w:val="0"/>
          <w:numId w:val="37"/>
        </w:numPr>
        <w:spacing w:after="0" w:line="240" w:lineRule="auto"/>
        <w:ind w:left="360"/>
        <w:rPr>
          <w:rFonts w:ascii="Segoe UI" w:eastAsia="Times New Roman" w:hAnsi="Segoe UI" w:cs="Segoe UI"/>
          <w:sz w:val="16"/>
          <w:szCs w:val="16"/>
        </w:rPr>
      </w:pPr>
      <w:r w:rsidRPr="004022B3">
        <w:rPr>
          <w:rFonts w:ascii="Segoe UI" w:eastAsia="Times New Roman" w:hAnsi="Segoe UI" w:cs="Segoe UI"/>
          <w:sz w:val="16"/>
          <w:szCs w:val="16"/>
        </w:rPr>
        <w:t xml:space="preserve">Sebastian Poledna et al., "Economic forecasting with an agent-based model",  ScienceDirect, 2023,  [Online]. Available:  </w:t>
      </w:r>
      <w:hyperlink r:id="rId18">
        <w:r w:rsidRPr="004022B3">
          <w:rPr>
            <w:rFonts w:ascii="Segoe UI" w:eastAsia="Times New Roman" w:hAnsi="Segoe UI" w:cs="Segoe UI"/>
            <w:color w:val="1155CC"/>
            <w:sz w:val="16"/>
            <w:szCs w:val="16"/>
            <w:u w:val="single"/>
          </w:rPr>
          <w:t>https://www.sciencedirect.com/science/article/pii/S0014292122001891</w:t>
        </w:r>
      </w:hyperlink>
    </w:p>
    <w:p w14:paraId="561954DE" w14:textId="77777777" w:rsidR="004022B3" w:rsidRPr="004022B3" w:rsidRDefault="004022B3" w:rsidP="004022B3">
      <w:pPr>
        <w:spacing w:line="240" w:lineRule="auto"/>
        <w:jc w:val="both"/>
        <w:rPr>
          <w:rFonts w:ascii="Segoe UI" w:eastAsia="Times New Roman" w:hAnsi="Segoe UI" w:cs="Segoe UI"/>
          <w:sz w:val="18"/>
          <w:szCs w:val="18"/>
        </w:rPr>
      </w:pPr>
    </w:p>
    <w:p w14:paraId="2569668A" w14:textId="33462F4F" w:rsidR="005F2B49" w:rsidRPr="005F2B49" w:rsidRDefault="005F2B49" w:rsidP="005F2B49">
      <w:pPr>
        <w:spacing w:after="0" w:line="240" w:lineRule="auto"/>
        <w:jc w:val="both"/>
        <w:rPr>
          <w:rFonts w:ascii="Segoe UI" w:hAnsi="Segoe UI" w:cs="Segoe UI"/>
          <w:sz w:val="18"/>
          <w:szCs w:val="18"/>
        </w:rPr>
      </w:pPr>
    </w:p>
    <w:sectPr w:rsidR="005F2B49" w:rsidRPr="005F2B49" w:rsidSect="00907ECC">
      <w:headerReference w:type="even" r:id="rId19"/>
      <w:headerReference w:type="default" r:id="rId20"/>
      <w:footerReference w:type="even" r:id="rId21"/>
      <w:footerReference w:type="default" r:id="rId22"/>
      <w:headerReference w:type="first" r:id="rId23"/>
      <w:footerReference w:type="first" r:id="rId24"/>
      <w:pgSz w:w="12240" w:h="15840"/>
      <w:pgMar w:top="331" w:right="1008" w:bottom="900" w:left="1008" w:header="720" w:footer="720" w:gutter="0"/>
      <w:pgNumType w:start="6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F943B" w14:textId="77777777" w:rsidR="000B30F3" w:rsidRDefault="000B30F3" w:rsidP="009E751A">
      <w:pPr>
        <w:spacing w:after="0" w:line="240" w:lineRule="auto"/>
      </w:pPr>
      <w:r>
        <w:separator/>
      </w:r>
    </w:p>
  </w:endnote>
  <w:endnote w:type="continuationSeparator" w:id="0">
    <w:p w14:paraId="5E931FC4" w14:textId="77777777" w:rsidR="000B30F3" w:rsidRDefault="000B30F3"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Content>
      <w:p w14:paraId="746E1F27" w14:textId="4C7F3307" w:rsidR="004022B3" w:rsidRPr="00BD15D1" w:rsidRDefault="004022B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Pr>
            <w:rFonts w:ascii="Segoe UI" w:hAnsi="Segoe UI" w:cs="Segoe UI"/>
            <w:b/>
            <w:bCs/>
            <w:noProof/>
            <w:sz w:val="16"/>
            <w:szCs w:val="16"/>
          </w:rPr>
          <w:t>6</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Content>
      <w:p w14:paraId="311DA777" w14:textId="5E38D8DF" w:rsidR="004022B3" w:rsidRPr="00BD15D1" w:rsidRDefault="004022B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Pr>
            <w:rFonts w:ascii="Segoe UI" w:hAnsi="Segoe UI" w:cs="Segoe UI"/>
            <w:b/>
            <w:bCs/>
            <w:noProof/>
            <w:sz w:val="16"/>
            <w:szCs w:val="16"/>
          </w:rPr>
          <w:t>5</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04E6C49E" w14:textId="77777777" w:rsidR="004022B3" w:rsidRDefault="004022B3" w:rsidP="00A374E1">
        <w:pPr>
          <w:pStyle w:val="Footer"/>
          <w:ind w:right="-266"/>
          <w:rPr>
            <w:rFonts w:ascii="Segoe UI" w:hAnsi="Segoe UI" w:cs="Segoe UI"/>
            <w:sz w:val="16"/>
            <w:szCs w:val="16"/>
          </w:rPr>
        </w:pPr>
      </w:p>
      <w:p w14:paraId="13431E90" w14:textId="61D35EC0" w:rsidR="004022B3" w:rsidRDefault="004022B3"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4022B3" w:rsidRPr="00C948BA" w:rsidRDefault="004022B3"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21ACB4CA" w:rsidR="004022B3" w:rsidRPr="00BD15D1" w:rsidRDefault="004022B3"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Pr>
            <w:rFonts w:ascii="Segoe UI" w:hAnsi="Segoe UI" w:cs="Segoe UI"/>
            <w:b/>
            <w:bCs/>
            <w:noProof/>
            <w:sz w:val="16"/>
            <w:szCs w:val="16"/>
          </w:rPr>
          <w:t>1</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58A87" w14:textId="77777777" w:rsidR="000B30F3" w:rsidRDefault="000B30F3" w:rsidP="009E751A">
      <w:pPr>
        <w:spacing w:after="0" w:line="240" w:lineRule="auto"/>
      </w:pPr>
      <w:r>
        <w:separator/>
      </w:r>
    </w:p>
  </w:footnote>
  <w:footnote w:type="continuationSeparator" w:id="0">
    <w:p w14:paraId="600312A1" w14:textId="77777777" w:rsidR="000B30F3" w:rsidRDefault="000B30F3"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283DB19B" w:rsidR="004022B3" w:rsidRPr="003B2E96" w:rsidRDefault="004022B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sidRPr="004022B3">
      <w:rPr>
        <w:rFonts w:ascii="Segoe UI" w:eastAsia="Times New Roman" w:hAnsi="Segoe UI" w:cs="Segoe UI"/>
        <w:b/>
        <w:bCs/>
        <w:i/>
        <w:sz w:val="16"/>
        <w:szCs w:val="16"/>
        <w:lang w:eastAsia="en-GB"/>
      </w:rPr>
      <w:t>The Role of Event-Driven Architectures in Fixed-Income Workflows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48E1" w14:textId="5C051FE3" w:rsidR="004022B3" w:rsidRPr="003B2E96" w:rsidRDefault="004022B3" w:rsidP="00780F0C">
    <w:pPr>
      <w:pStyle w:val="Header"/>
      <w:pBdr>
        <w:bottom w:val="single" w:sz="4" w:space="1" w:color="auto"/>
      </w:pBdr>
      <w:jc w:val="right"/>
      <w:rPr>
        <w:rFonts w:ascii="Segoe UI" w:hAnsi="Segoe UI" w:cs="Segoe UI"/>
        <w:b/>
        <w:bCs/>
        <w:i/>
        <w:iCs/>
        <w:sz w:val="16"/>
        <w:szCs w:val="16"/>
      </w:rPr>
    </w:pPr>
    <w:r w:rsidRPr="002A0D48">
      <w:rPr>
        <w:rFonts w:ascii="Segoe UI" w:hAnsi="Segoe UI" w:cs="Segoe UI"/>
        <w:b/>
        <w:bCs/>
        <w:i/>
        <w:iCs/>
        <w:sz w:val="16"/>
        <w:szCs w:val="16"/>
      </w:rPr>
      <w:t xml:space="preserve">JCSTS </w:t>
    </w:r>
    <w:r>
      <w:rPr>
        <w:rFonts w:ascii="Segoe UI" w:hAnsi="Segoe UI" w:cs="Segoe UI"/>
        <w:b/>
        <w:bCs/>
        <w:i/>
        <w:iCs/>
        <w:sz w:val="16"/>
        <w:szCs w:val="16"/>
      </w:rPr>
      <w:t>7</w:t>
    </w:r>
    <w:r w:rsidRPr="003B2E96">
      <w:rPr>
        <w:rFonts w:ascii="Segoe UI" w:hAnsi="Segoe UI" w:cs="Segoe UI"/>
        <w:b/>
        <w:bCs/>
        <w:i/>
        <w:iCs/>
        <w:sz w:val="16"/>
        <w:szCs w:val="16"/>
      </w:rPr>
      <w:t>(</w:t>
    </w:r>
    <w:r>
      <w:rPr>
        <w:rFonts w:ascii="Segoe UI" w:hAnsi="Segoe UI" w:cs="Segoe UI"/>
        <w:b/>
        <w:bCs/>
        <w:i/>
        <w:iCs/>
        <w:sz w:val="16"/>
        <w:szCs w:val="16"/>
      </w:rPr>
      <w:t>4</w:t>
    </w:r>
    <w:r w:rsidRPr="003B2E96">
      <w:rPr>
        <w:rFonts w:ascii="Segoe UI" w:hAnsi="Segoe UI" w:cs="Segoe UI"/>
        <w:b/>
        <w:bCs/>
        <w:i/>
        <w:iCs/>
        <w:sz w:val="16"/>
        <w:szCs w:val="16"/>
      </w:rPr>
      <w:t>):</w:t>
    </w:r>
    <w:r>
      <w:rPr>
        <w:rFonts w:ascii="Segoe UI" w:hAnsi="Segoe UI" w:cs="Segoe UI"/>
        <w:b/>
        <w:bCs/>
        <w:i/>
        <w:iCs/>
        <w:sz w:val="16"/>
        <w:szCs w:val="16"/>
      </w:rPr>
      <w:t xml:space="preserve"> </w:t>
    </w:r>
    <w:r w:rsidR="00907ECC">
      <w:rPr>
        <w:rFonts w:ascii="Segoe UI" w:hAnsi="Segoe UI" w:cs="Segoe UI"/>
        <w:b/>
        <w:bCs/>
        <w:i/>
        <w:iCs/>
        <w:sz w:val="16"/>
        <w:szCs w:val="16"/>
      </w:rPr>
      <w:t>649</w:t>
    </w:r>
    <w:r w:rsidRPr="003B2E96">
      <w:rPr>
        <w:rFonts w:ascii="Segoe UI" w:hAnsi="Segoe UI" w:cs="Segoe UI"/>
        <w:b/>
        <w:bCs/>
        <w:i/>
        <w:iCs/>
        <w:sz w:val="16"/>
        <w:szCs w:val="16"/>
      </w:rPr>
      <w:t>-</w:t>
    </w:r>
    <w:r w:rsidR="00907ECC">
      <w:rPr>
        <w:rFonts w:ascii="Segoe UI" w:hAnsi="Segoe UI" w:cs="Segoe UI"/>
        <w:b/>
        <w:bCs/>
        <w:i/>
        <w:iCs/>
        <w:sz w:val="16"/>
        <w:szCs w:val="16"/>
      </w:rPr>
      <w:t>655</w:t>
    </w:r>
  </w:p>
  <w:p w14:paraId="2E917D49" w14:textId="77777777" w:rsidR="004022B3" w:rsidRDefault="004022B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6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20"/>
      <w:gridCol w:w="3543"/>
    </w:tblGrid>
    <w:tr w:rsidR="004022B3" w14:paraId="78735835" w14:textId="77777777" w:rsidTr="002A57B6">
      <w:trPr>
        <w:trHeight w:val="470"/>
      </w:trPr>
      <w:tc>
        <w:tcPr>
          <w:tcW w:w="7320" w:type="dxa"/>
          <w:shd w:val="clear" w:color="auto" w:fill="FFFFFF" w:themeFill="background1"/>
        </w:tcPr>
        <w:p w14:paraId="2962835B" w14:textId="77777777" w:rsidR="004022B3" w:rsidRDefault="004022B3" w:rsidP="00380EAB">
          <w:pPr>
            <w:pStyle w:val="Header"/>
            <w:tabs>
              <w:tab w:val="clear" w:pos="4320"/>
              <w:tab w:val="clear" w:pos="8640"/>
              <w:tab w:val="left" w:pos="3243"/>
            </w:tabs>
            <w:ind w:left="-24"/>
            <w:rPr>
              <w:rFonts w:ascii="Segoe UI" w:hAnsi="Segoe UI" w:cs="Segoe UI"/>
              <w:b/>
              <w:bCs/>
              <w:noProof/>
            </w:rPr>
          </w:pPr>
          <w:r w:rsidRPr="002A0D48">
            <w:rPr>
              <w:rFonts w:ascii="Segoe UI" w:hAnsi="Segoe UI" w:cs="Segoe UI"/>
              <w:b/>
              <w:bCs/>
              <w:noProof/>
            </w:rPr>
            <w:t xml:space="preserve">Journal of Computer Science and Technology Studies </w:t>
          </w:r>
        </w:p>
        <w:p w14:paraId="3B141307" w14:textId="04A8DD81" w:rsidR="004022B3" w:rsidRPr="00BE4179" w:rsidRDefault="004022B3" w:rsidP="00380EAB">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2A0D48">
            <w:rPr>
              <w:rFonts w:ascii="Segoe UI" w:hAnsi="Segoe UI" w:cs="Segoe UI"/>
              <w:sz w:val="20"/>
              <w:szCs w:val="20"/>
            </w:rPr>
            <w:t>2709-104X</w:t>
          </w:r>
        </w:p>
        <w:p w14:paraId="0C2AC525" w14:textId="6CE75D19" w:rsidR="004022B3" w:rsidRPr="00BE4179" w:rsidRDefault="004022B3" w:rsidP="00AF550C">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10.32996/jcsts</w:t>
          </w:r>
        </w:p>
        <w:p w14:paraId="5FD9C87F" w14:textId="3A60B755" w:rsidR="004022B3" w:rsidRDefault="004022B3" w:rsidP="002A57B6">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jcsts</w:t>
          </w:r>
        </w:p>
      </w:tc>
      <w:tc>
        <w:tcPr>
          <w:tcW w:w="3543" w:type="dxa"/>
        </w:tcPr>
        <w:p w14:paraId="69CE4C4E" w14:textId="730CAE0C" w:rsidR="004022B3" w:rsidRPr="00895766" w:rsidRDefault="004022B3" w:rsidP="00320CDD">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Pr>
              <w:rFonts w:ascii="Cambria" w:hAnsi="Cambria" w:cs="Segoe UI"/>
              <w:b/>
              <w:bCs/>
              <w:color w:val="FF3300"/>
              <w:sz w:val="56"/>
              <w:szCs w:val="56"/>
              <w:lang w:val="en-GB"/>
            </w:rPr>
            <w:t xml:space="preserve"> JCSTS </w:t>
          </w:r>
        </w:p>
        <w:p w14:paraId="64571565" w14:textId="5C0AFDED" w:rsidR="004022B3" w:rsidRPr="002358BE" w:rsidRDefault="004022B3"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4022B3" w:rsidRPr="002358BE" w:rsidRDefault="004022B3"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4022B3" w:rsidRDefault="004022B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7E104A"/>
    <w:multiLevelType w:val="hybridMultilevel"/>
    <w:tmpl w:val="4B92A802"/>
    <w:lvl w:ilvl="0" w:tplc="D84EE7C0">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C82662"/>
    <w:multiLevelType w:val="hybridMultilevel"/>
    <w:tmpl w:val="8D8A5BE8"/>
    <w:lvl w:ilvl="0" w:tplc="80FCC7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21"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4"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7"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2"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6"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
  </w:num>
  <w:num w:numId="4">
    <w:abstractNumId w:val="31"/>
  </w:num>
  <w:num w:numId="5">
    <w:abstractNumId w:val="2"/>
  </w:num>
  <w:num w:numId="6">
    <w:abstractNumId w:val="24"/>
  </w:num>
  <w:num w:numId="7">
    <w:abstractNumId w:val="34"/>
  </w:num>
  <w:num w:numId="8">
    <w:abstractNumId w:val="16"/>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
  </w:num>
  <w:num w:numId="13">
    <w:abstractNumId w:val="6"/>
  </w:num>
  <w:num w:numId="14">
    <w:abstractNumId w:val="8"/>
  </w:num>
  <w:num w:numId="15">
    <w:abstractNumId w:val="15"/>
  </w:num>
  <w:num w:numId="16">
    <w:abstractNumId w:val="3"/>
  </w:num>
  <w:num w:numId="17">
    <w:abstractNumId w:val="26"/>
  </w:num>
  <w:num w:numId="18">
    <w:abstractNumId w:val="7"/>
  </w:num>
  <w:num w:numId="19">
    <w:abstractNumId w:val="28"/>
  </w:num>
  <w:num w:numId="20">
    <w:abstractNumId w:val="32"/>
  </w:num>
  <w:num w:numId="21">
    <w:abstractNumId w:val="35"/>
  </w:num>
  <w:num w:numId="22">
    <w:abstractNumId w:val="22"/>
  </w:num>
  <w:num w:numId="23">
    <w:abstractNumId w:val="13"/>
  </w:num>
  <w:num w:numId="24">
    <w:abstractNumId w:val="5"/>
  </w:num>
  <w:num w:numId="25">
    <w:abstractNumId w:val="19"/>
  </w:num>
  <w:num w:numId="26">
    <w:abstractNumId w:val="17"/>
  </w:num>
  <w:num w:numId="27">
    <w:abstractNumId w:val="33"/>
  </w:num>
  <w:num w:numId="28">
    <w:abstractNumId w:val="30"/>
  </w:num>
  <w:num w:numId="29">
    <w:abstractNumId w:val="25"/>
  </w:num>
  <w:num w:numId="30">
    <w:abstractNumId w:val="14"/>
  </w:num>
  <w:num w:numId="31">
    <w:abstractNumId w:val="27"/>
  </w:num>
  <w:num w:numId="32">
    <w:abstractNumId w:val="20"/>
  </w:num>
  <w:num w:numId="33">
    <w:abstractNumId w:val="29"/>
  </w:num>
  <w:num w:numId="34">
    <w:abstractNumId w:val="21"/>
  </w:num>
  <w:num w:numId="35">
    <w:abstractNumId w:val="11"/>
  </w:num>
  <w:num w:numId="36">
    <w:abstractNumId w:val="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jM3NTY2NTWxMDJU0lEKTi0uzszPAykwMa8FAFkIL4otAAAA"/>
  </w:docVars>
  <w:rsids>
    <w:rsidRoot w:val="009E751A"/>
    <w:rsid w:val="0000217F"/>
    <w:rsid w:val="00004CA9"/>
    <w:rsid w:val="00007E47"/>
    <w:rsid w:val="000120B9"/>
    <w:rsid w:val="000141BE"/>
    <w:rsid w:val="000218CF"/>
    <w:rsid w:val="000277EE"/>
    <w:rsid w:val="00030CBA"/>
    <w:rsid w:val="00034121"/>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0F3"/>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1D23"/>
    <w:rsid w:val="001F51A5"/>
    <w:rsid w:val="001F54B6"/>
    <w:rsid w:val="002012CD"/>
    <w:rsid w:val="002074E1"/>
    <w:rsid w:val="0021247E"/>
    <w:rsid w:val="002141BC"/>
    <w:rsid w:val="00216616"/>
    <w:rsid w:val="002247D8"/>
    <w:rsid w:val="0023175E"/>
    <w:rsid w:val="00232B81"/>
    <w:rsid w:val="00234F31"/>
    <w:rsid w:val="002358BE"/>
    <w:rsid w:val="002428AF"/>
    <w:rsid w:val="00243C64"/>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0D48"/>
    <w:rsid w:val="002A4518"/>
    <w:rsid w:val="002A57B6"/>
    <w:rsid w:val="002A5F74"/>
    <w:rsid w:val="002A6879"/>
    <w:rsid w:val="002B37ED"/>
    <w:rsid w:val="002B3983"/>
    <w:rsid w:val="002B47FE"/>
    <w:rsid w:val="002B75EB"/>
    <w:rsid w:val="002C02F1"/>
    <w:rsid w:val="002C4492"/>
    <w:rsid w:val="002D1464"/>
    <w:rsid w:val="002D1C81"/>
    <w:rsid w:val="002D60AD"/>
    <w:rsid w:val="002E4FDD"/>
    <w:rsid w:val="002E5179"/>
    <w:rsid w:val="002E5185"/>
    <w:rsid w:val="002E59C2"/>
    <w:rsid w:val="002E698C"/>
    <w:rsid w:val="002E7C91"/>
    <w:rsid w:val="002E7EA8"/>
    <w:rsid w:val="002F0D8B"/>
    <w:rsid w:val="002F6361"/>
    <w:rsid w:val="003000AB"/>
    <w:rsid w:val="00300A96"/>
    <w:rsid w:val="00301CBA"/>
    <w:rsid w:val="0030289B"/>
    <w:rsid w:val="00304852"/>
    <w:rsid w:val="003074F0"/>
    <w:rsid w:val="00317EA8"/>
    <w:rsid w:val="00320CDD"/>
    <w:rsid w:val="003315F3"/>
    <w:rsid w:val="00332AEF"/>
    <w:rsid w:val="00333C91"/>
    <w:rsid w:val="00333E42"/>
    <w:rsid w:val="003407D1"/>
    <w:rsid w:val="00342AAA"/>
    <w:rsid w:val="003537FD"/>
    <w:rsid w:val="00355DA2"/>
    <w:rsid w:val="00357346"/>
    <w:rsid w:val="00362628"/>
    <w:rsid w:val="003626EB"/>
    <w:rsid w:val="0036312C"/>
    <w:rsid w:val="00364BCA"/>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D40E0"/>
    <w:rsid w:val="003E1FB7"/>
    <w:rsid w:val="003E4ED0"/>
    <w:rsid w:val="003E6830"/>
    <w:rsid w:val="003E749A"/>
    <w:rsid w:val="003E7DE5"/>
    <w:rsid w:val="003F678B"/>
    <w:rsid w:val="003F74F8"/>
    <w:rsid w:val="00401F8C"/>
    <w:rsid w:val="004022B3"/>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7094C"/>
    <w:rsid w:val="00481AC6"/>
    <w:rsid w:val="0048266D"/>
    <w:rsid w:val="00482CCF"/>
    <w:rsid w:val="00484D2A"/>
    <w:rsid w:val="00485F89"/>
    <w:rsid w:val="00494504"/>
    <w:rsid w:val="004946CF"/>
    <w:rsid w:val="004A0ABE"/>
    <w:rsid w:val="004A1C1A"/>
    <w:rsid w:val="004A2308"/>
    <w:rsid w:val="004A6030"/>
    <w:rsid w:val="004A71BE"/>
    <w:rsid w:val="004B65F3"/>
    <w:rsid w:val="004C03D7"/>
    <w:rsid w:val="004C21C2"/>
    <w:rsid w:val="004C5ABF"/>
    <w:rsid w:val="004D11D8"/>
    <w:rsid w:val="004D12A7"/>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482E"/>
    <w:rsid w:val="005177B0"/>
    <w:rsid w:val="00517EEF"/>
    <w:rsid w:val="00520C7A"/>
    <w:rsid w:val="00522224"/>
    <w:rsid w:val="0052409B"/>
    <w:rsid w:val="0052580F"/>
    <w:rsid w:val="0053375D"/>
    <w:rsid w:val="00536009"/>
    <w:rsid w:val="00541075"/>
    <w:rsid w:val="00541642"/>
    <w:rsid w:val="00552437"/>
    <w:rsid w:val="00562073"/>
    <w:rsid w:val="0056625D"/>
    <w:rsid w:val="0058300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2B49"/>
    <w:rsid w:val="005F5FEB"/>
    <w:rsid w:val="00600708"/>
    <w:rsid w:val="0060124B"/>
    <w:rsid w:val="00607CEB"/>
    <w:rsid w:val="006104CB"/>
    <w:rsid w:val="00615593"/>
    <w:rsid w:val="00621A12"/>
    <w:rsid w:val="00622271"/>
    <w:rsid w:val="0063647D"/>
    <w:rsid w:val="0064534F"/>
    <w:rsid w:val="00646187"/>
    <w:rsid w:val="0065010F"/>
    <w:rsid w:val="00654BB5"/>
    <w:rsid w:val="00660E29"/>
    <w:rsid w:val="00661475"/>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3EB8"/>
    <w:rsid w:val="006E6BB5"/>
    <w:rsid w:val="006E7F8B"/>
    <w:rsid w:val="006F08E4"/>
    <w:rsid w:val="006F19D7"/>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0F0C"/>
    <w:rsid w:val="00782D7F"/>
    <w:rsid w:val="00783466"/>
    <w:rsid w:val="007953B5"/>
    <w:rsid w:val="007A5DE6"/>
    <w:rsid w:val="007A6D7A"/>
    <w:rsid w:val="007B061A"/>
    <w:rsid w:val="007B5560"/>
    <w:rsid w:val="007B7C14"/>
    <w:rsid w:val="007C3207"/>
    <w:rsid w:val="007C4502"/>
    <w:rsid w:val="007D0D35"/>
    <w:rsid w:val="007D2416"/>
    <w:rsid w:val="007D5264"/>
    <w:rsid w:val="007D5FFE"/>
    <w:rsid w:val="007D7869"/>
    <w:rsid w:val="007E5093"/>
    <w:rsid w:val="007F7EF8"/>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5A9"/>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F2A1E"/>
    <w:rsid w:val="00900C1A"/>
    <w:rsid w:val="00902354"/>
    <w:rsid w:val="009034EC"/>
    <w:rsid w:val="0090397E"/>
    <w:rsid w:val="00904D51"/>
    <w:rsid w:val="00907ECC"/>
    <w:rsid w:val="00907FAF"/>
    <w:rsid w:val="009112ED"/>
    <w:rsid w:val="00911E5A"/>
    <w:rsid w:val="00922C0E"/>
    <w:rsid w:val="00924745"/>
    <w:rsid w:val="00934A06"/>
    <w:rsid w:val="009455B9"/>
    <w:rsid w:val="00947F59"/>
    <w:rsid w:val="009507E2"/>
    <w:rsid w:val="00967549"/>
    <w:rsid w:val="00967E1E"/>
    <w:rsid w:val="0097145F"/>
    <w:rsid w:val="009948AC"/>
    <w:rsid w:val="00997B93"/>
    <w:rsid w:val="009A4F9C"/>
    <w:rsid w:val="009A530D"/>
    <w:rsid w:val="009A608C"/>
    <w:rsid w:val="009A60BC"/>
    <w:rsid w:val="009B47BE"/>
    <w:rsid w:val="009B6552"/>
    <w:rsid w:val="009B65CF"/>
    <w:rsid w:val="009C6FEF"/>
    <w:rsid w:val="009C77C8"/>
    <w:rsid w:val="009D2711"/>
    <w:rsid w:val="009D2840"/>
    <w:rsid w:val="009D2C8E"/>
    <w:rsid w:val="009D4E5E"/>
    <w:rsid w:val="009E65D4"/>
    <w:rsid w:val="009E751A"/>
    <w:rsid w:val="009F0DD1"/>
    <w:rsid w:val="009F2C78"/>
    <w:rsid w:val="009F3682"/>
    <w:rsid w:val="009F4A6A"/>
    <w:rsid w:val="009F5E86"/>
    <w:rsid w:val="009F64AD"/>
    <w:rsid w:val="009F72A8"/>
    <w:rsid w:val="00A01B71"/>
    <w:rsid w:val="00A02421"/>
    <w:rsid w:val="00A056B5"/>
    <w:rsid w:val="00A15308"/>
    <w:rsid w:val="00A255DD"/>
    <w:rsid w:val="00A30412"/>
    <w:rsid w:val="00A33E11"/>
    <w:rsid w:val="00A374E1"/>
    <w:rsid w:val="00A37B7F"/>
    <w:rsid w:val="00A428CE"/>
    <w:rsid w:val="00A451FB"/>
    <w:rsid w:val="00A50075"/>
    <w:rsid w:val="00A573B5"/>
    <w:rsid w:val="00A657B1"/>
    <w:rsid w:val="00A66DC9"/>
    <w:rsid w:val="00A66DEF"/>
    <w:rsid w:val="00A73544"/>
    <w:rsid w:val="00A75BDE"/>
    <w:rsid w:val="00A76742"/>
    <w:rsid w:val="00A80708"/>
    <w:rsid w:val="00A82B3E"/>
    <w:rsid w:val="00A83A5C"/>
    <w:rsid w:val="00A84324"/>
    <w:rsid w:val="00A87838"/>
    <w:rsid w:val="00AA0995"/>
    <w:rsid w:val="00AA1B37"/>
    <w:rsid w:val="00AA5A63"/>
    <w:rsid w:val="00AA6C12"/>
    <w:rsid w:val="00AB016C"/>
    <w:rsid w:val="00AB5366"/>
    <w:rsid w:val="00AC0EE1"/>
    <w:rsid w:val="00AD0301"/>
    <w:rsid w:val="00AE08E3"/>
    <w:rsid w:val="00AE7E0E"/>
    <w:rsid w:val="00AF2F7D"/>
    <w:rsid w:val="00AF550C"/>
    <w:rsid w:val="00AF61D2"/>
    <w:rsid w:val="00AF6B5B"/>
    <w:rsid w:val="00B0052A"/>
    <w:rsid w:val="00B00850"/>
    <w:rsid w:val="00B02030"/>
    <w:rsid w:val="00B02A26"/>
    <w:rsid w:val="00B02B48"/>
    <w:rsid w:val="00B105FD"/>
    <w:rsid w:val="00B14355"/>
    <w:rsid w:val="00B14731"/>
    <w:rsid w:val="00B20774"/>
    <w:rsid w:val="00B22420"/>
    <w:rsid w:val="00B23332"/>
    <w:rsid w:val="00B3049A"/>
    <w:rsid w:val="00B34ECC"/>
    <w:rsid w:val="00B44C92"/>
    <w:rsid w:val="00B4525B"/>
    <w:rsid w:val="00B4570E"/>
    <w:rsid w:val="00B4752A"/>
    <w:rsid w:val="00B506FB"/>
    <w:rsid w:val="00B518BC"/>
    <w:rsid w:val="00B61C29"/>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034B"/>
    <w:rsid w:val="00BD15D1"/>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67950"/>
    <w:rsid w:val="00C71E1A"/>
    <w:rsid w:val="00C76E03"/>
    <w:rsid w:val="00C902A5"/>
    <w:rsid w:val="00C948BA"/>
    <w:rsid w:val="00CA1009"/>
    <w:rsid w:val="00CA25E9"/>
    <w:rsid w:val="00CA5312"/>
    <w:rsid w:val="00CA6B29"/>
    <w:rsid w:val="00CB5B83"/>
    <w:rsid w:val="00CB6881"/>
    <w:rsid w:val="00CB6ADB"/>
    <w:rsid w:val="00CB79CF"/>
    <w:rsid w:val="00CB7E9E"/>
    <w:rsid w:val="00CB7FBE"/>
    <w:rsid w:val="00CC1153"/>
    <w:rsid w:val="00CC2EF9"/>
    <w:rsid w:val="00CC34F7"/>
    <w:rsid w:val="00CC38E8"/>
    <w:rsid w:val="00CC4986"/>
    <w:rsid w:val="00CC7A49"/>
    <w:rsid w:val="00CD3B15"/>
    <w:rsid w:val="00D04545"/>
    <w:rsid w:val="00D059F8"/>
    <w:rsid w:val="00D0645F"/>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1404"/>
    <w:rsid w:val="00E75EFA"/>
    <w:rsid w:val="00E77254"/>
    <w:rsid w:val="00E80039"/>
    <w:rsid w:val="00E81594"/>
    <w:rsid w:val="00E832D2"/>
    <w:rsid w:val="00E84D44"/>
    <w:rsid w:val="00E90F12"/>
    <w:rsid w:val="00E969A4"/>
    <w:rsid w:val="00EA3F35"/>
    <w:rsid w:val="00EA4F81"/>
    <w:rsid w:val="00EB0DE4"/>
    <w:rsid w:val="00EB5E99"/>
    <w:rsid w:val="00EB63F8"/>
    <w:rsid w:val="00EB6C26"/>
    <w:rsid w:val="00EB769C"/>
    <w:rsid w:val="00EB7F4E"/>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55D68"/>
    <w:rsid w:val="00F6248E"/>
    <w:rsid w:val="00F62F2B"/>
    <w:rsid w:val="00F709A7"/>
    <w:rsid w:val="00F7315C"/>
    <w:rsid w:val="00F75F42"/>
    <w:rsid w:val="00F8766B"/>
    <w:rsid w:val="00F9776A"/>
    <w:rsid w:val="00FA0CDE"/>
    <w:rsid w:val="00FA7D63"/>
    <w:rsid w:val="00FB492C"/>
    <w:rsid w:val="00FB5ACD"/>
    <w:rsid w:val="00FC057D"/>
    <w:rsid w:val="00FD04BB"/>
    <w:rsid w:val="00FD1081"/>
    <w:rsid w:val="00FE3320"/>
    <w:rsid w:val="00FE6E5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ournalwjaets.com/sites/default/files/fulltext_pdf/WJAETS-2025-0199.pdf" TargetMode="External"/><Relationship Id="rId18" Type="http://schemas.openxmlformats.org/officeDocument/2006/relationships/hyperlink" Target="https://www.sciencedirect.com/science/article/pii/S00142921220018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searchgate.net/publication/298902672_Microservices_Architecture_Enables_DevOps_an_Experience_Report_on_Migration_to_a_Cloud-Native_Architecture" TargetMode="External"/><Relationship Id="rId17" Type="http://schemas.openxmlformats.org/officeDocument/2006/relationships/hyperlink" Target="https://arxiv.org/html/2406.19966v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ncedirect.com/science/article/pii/S037842662200045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pdf/2502.1357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ppliednetsci.springeropen.com/articles/10.1007/s41109-021-00417-z" TargetMode="External"/><Relationship Id="rId23" Type="http://schemas.openxmlformats.org/officeDocument/2006/relationships/header" Target="header3.xml"/><Relationship Id="rId10" Type="http://schemas.openxmlformats.org/officeDocument/2006/relationships/hyperlink" Target="https://www.sciencedirect.com/science/article/abs/pii/S031359262300324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desk.com/key-trends-in-fixed-income-trading/" TargetMode="External"/><Relationship Id="rId14" Type="http://schemas.openxmlformats.org/officeDocument/2006/relationships/hyperlink" Target="https://arxiv.org/pdf/1709.02015"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8506-D398-49D0-9D7A-569C679A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4320</Words>
  <Characters>24628</Characters>
  <Application>Microsoft Office Word</Application>
  <DocSecurity>0</DocSecurity>
  <Lines>205</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4</cp:revision>
  <cp:lastPrinted>2025-05-17T06:13:00Z</cp:lastPrinted>
  <dcterms:created xsi:type="dcterms:W3CDTF">2025-05-17T06:12:00Z</dcterms:created>
  <dcterms:modified xsi:type="dcterms:W3CDTF">2025-05-17T13:06:00Z</dcterms:modified>
</cp:coreProperties>
</file>