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F0DD0" w14:textId="77777777" w:rsidR="003D28E9" w:rsidRDefault="00000000">
      <w:pPr>
        <w:keepNext/>
        <w:keepLines/>
        <w:spacing w:before="120"/>
        <w:outlineLvl w:val="0"/>
        <w:rPr>
          <w:rFonts w:ascii="Segoe UI" w:hAnsi="Segoe UI" w:cs="Segoe UI"/>
          <w:b/>
          <w:bCs/>
        </w:rPr>
      </w:pPr>
      <w:r>
        <w:rPr>
          <w:rFonts w:ascii="Segoe UI" w:hAnsi="Segoe UI" w:cs="Segoe UI"/>
          <w:b/>
          <w:bCs/>
          <w:color w:val="FF0000"/>
        </w:rPr>
        <w:t>|</w:t>
      </w:r>
      <w:r>
        <w:rPr>
          <w:rFonts w:ascii="Segoe UI" w:hAnsi="Segoe UI" w:cs="Segoe UI"/>
          <w:b/>
          <w:bCs/>
        </w:rPr>
        <w:t xml:space="preserve"> RESEARCH ARTICLE</w:t>
      </w:r>
    </w:p>
    <w:p w14:paraId="4760A5B1" w14:textId="45400EE8" w:rsidR="00FB1D25" w:rsidRDefault="005F4300">
      <w:pPr>
        <w:tabs>
          <w:tab w:val="left" w:pos="8025"/>
        </w:tabs>
        <w:spacing w:before="100" w:beforeAutospacing="1" w:after="100" w:afterAutospacing="1"/>
        <w:ind w:right="80"/>
        <w:contextualSpacing/>
        <w:outlineLvl w:val="0"/>
        <w:rPr>
          <w:rFonts w:ascii="Segoe UI" w:hAnsi="Segoe UI" w:cs="Segoe UI"/>
          <w:b/>
          <w:bCs/>
          <w:sz w:val="24"/>
          <w:szCs w:val="24"/>
        </w:rPr>
      </w:pPr>
      <w:r w:rsidRPr="005F4300">
        <w:rPr>
          <w:rFonts w:ascii="Segoe UI" w:hAnsi="Segoe UI" w:cs="Segoe UI"/>
          <w:b/>
          <w:bCs/>
          <w:sz w:val="24"/>
          <w:szCs w:val="24"/>
        </w:rPr>
        <w:t>From Courtrooms to Code: Opportunities and Challenges of Artificial Intelligence in Indian Judiciary</w:t>
      </w:r>
    </w:p>
    <w:p w14:paraId="293C11E2" w14:textId="77777777" w:rsidR="005F4300" w:rsidRDefault="005F4300">
      <w:pPr>
        <w:tabs>
          <w:tab w:val="left" w:pos="8025"/>
        </w:tabs>
        <w:spacing w:before="100" w:beforeAutospacing="1" w:after="100" w:afterAutospacing="1"/>
        <w:ind w:right="80"/>
        <w:contextualSpacing/>
        <w:outlineLvl w:val="0"/>
        <w:rPr>
          <w:rFonts w:ascii="Segoe UI" w:hAnsi="Segoe UI" w:cs="Segoe UI"/>
          <w:b/>
          <w:bCs/>
          <w:sz w:val="24"/>
          <w:szCs w:val="24"/>
        </w:rPr>
      </w:pPr>
    </w:p>
    <w:p w14:paraId="19969CEE" w14:textId="77777777" w:rsidR="005F4300" w:rsidRDefault="005F4300">
      <w:pPr>
        <w:tabs>
          <w:tab w:val="left" w:pos="8025"/>
        </w:tabs>
        <w:spacing w:before="100" w:beforeAutospacing="1" w:after="100" w:afterAutospacing="1"/>
        <w:ind w:right="80"/>
        <w:contextualSpacing/>
        <w:outlineLvl w:val="0"/>
        <w:rPr>
          <w:rFonts w:ascii="Segoe UI" w:hAnsi="Segoe UI" w:cs="Segoe UI"/>
          <w:b/>
          <w:bCs/>
          <w:sz w:val="20"/>
          <w:szCs w:val="20"/>
        </w:rPr>
      </w:pPr>
      <w:r w:rsidRPr="005F4300">
        <w:rPr>
          <w:rFonts w:ascii="Segoe UI" w:hAnsi="Segoe UI" w:cs="Segoe UI"/>
          <w:b/>
          <w:bCs/>
          <w:sz w:val="20"/>
          <w:szCs w:val="20"/>
        </w:rPr>
        <w:t xml:space="preserve">Srinidhi </w:t>
      </w:r>
      <w:proofErr w:type="spellStart"/>
      <w:r w:rsidRPr="005F4300">
        <w:rPr>
          <w:rFonts w:ascii="Segoe UI" w:hAnsi="Segoe UI" w:cs="Segoe UI"/>
          <w:b/>
          <w:bCs/>
          <w:sz w:val="20"/>
          <w:szCs w:val="20"/>
        </w:rPr>
        <w:t>Premanandh</w:t>
      </w:r>
      <w:proofErr w:type="spellEnd"/>
      <w:r w:rsidRPr="005F4300">
        <w:rPr>
          <w:rFonts w:ascii="Segoe UI" w:hAnsi="Segoe UI" w:cs="Segoe UI"/>
          <w:b/>
          <w:bCs/>
          <w:sz w:val="20"/>
          <w:szCs w:val="20"/>
        </w:rPr>
        <w:t xml:space="preserve"> </w:t>
      </w:r>
    </w:p>
    <w:p w14:paraId="78E2A8AD" w14:textId="77777777" w:rsidR="005F4300" w:rsidRPr="005F4300" w:rsidRDefault="00FB1D25" w:rsidP="005F4300">
      <w:pPr>
        <w:tabs>
          <w:tab w:val="left" w:pos="8025"/>
        </w:tabs>
        <w:spacing w:before="100" w:beforeAutospacing="1" w:after="100" w:afterAutospacing="1"/>
        <w:ind w:right="80"/>
        <w:contextualSpacing/>
        <w:outlineLvl w:val="0"/>
        <w:rPr>
          <w:rFonts w:ascii="Segoe UI" w:hAnsi="Segoe UI" w:cs="Segoe UI"/>
          <w:i/>
          <w:iCs/>
          <w:sz w:val="18"/>
          <w:szCs w:val="18"/>
        </w:rPr>
      </w:pPr>
      <w:r w:rsidRPr="00FB1D25">
        <w:rPr>
          <w:rFonts w:ascii="Segoe UI" w:hAnsi="Segoe UI" w:cs="Segoe UI"/>
          <w:b/>
          <w:bCs/>
          <w:sz w:val="18"/>
          <w:szCs w:val="18"/>
          <w:vertAlign w:val="superscript"/>
        </w:rPr>
        <w:t>1</w:t>
      </w:r>
      <w:r w:rsidRPr="00FB1D25">
        <w:rPr>
          <w:rFonts w:ascii="Segoe UI" w:hAnsi="Segoe UI" w:cs="Segoe UI"/>
          <w:b/>
          <w:bCs/>
          <w:i/>
          <w:iCs/>
          <w:sz w:val="18"/>
          <w:szCs w:val="18"/>
          <w:vertAlign w:val="superscript"/>
        </w:rPr>
        <w:t xml:space="preserve">23 </w:t>
      </w:r>
      <w:r w:rsidR="005F4300" w:rsidRPr="005F4300">
        <w:rPr>
          <w:rFonts w:ascii="Segoe UI" w:hAnsi="Segoe UI" w:cs="Segoe UI"/>
          <w:i/>
          <w:iCs/>
          <w:sz w:val="18"/>
          <w:szCs w:val="18"/>
        </w:rPr>
        <w:t xml:space="preserve">Srinidhi </w:t>
      </w:r>
      <w:proofErr w:type="spellStart"/>
      <w:r w:rsidR="005F4300" w:rsidRPr="005F4300">
        <w:rPr>
          <w:rFonts w:ascii="Segoe UI" w:hAnsi="Segoe UI" w:cs="Segoe UI"/>
          <w:i/>
          <w:iCs/>
          <w:sz w:val="18"/>
          <w:szCs w:val="18"/>
        </w:rPr>
        <w:t>Premanandh</w:t>
      </w:r>
      <w:proofErr w:type="spellEnd"/>
      <w:r w:rsidR="005F4300" w:rsidRPr="005F4300">
        <w:rPr>
          <w:rFonts w:ascii="Segoe UI Symbol" w:hAnsi="Segoe UI Symbol" w:cs="Segoe UI Symbol"/>
          <w:i/>
          <w:iCs/>
          <w:sz w:val="18"/>
          <w:szCs w:val="18"/>
        </w:rPr>
        <w:t>✉</w:t>
      </w:r>
    </w:p>
    <w:p w14:paraId="2A6DE4CB" w14:textId="77777777" w:rsidR="005F4300" w:rsidRPr="005F4300" w:rsidRDefault="005F4300" w:rsidP="005F4300">
      <w:pPr>
        <w:tabs>
          <w:tab w:val="left" w:pos="8025"/>
        </w:tabs>
        <w:spacing w:before="100" w:beforeAutospacing="1" w:after="100" w:afterAutospacing="1"/>
        <w:ind w:right="80"/>
        <w:contextualSpacing/>
        <w:outlineLvl w:val="0"/>
        <w:rPr>
          <w:rFonts w:ascii="Segoe UI" w:hAnsi="Segoe UI" w:cs="Segoe UI"/>
          <w:i/>
          <w:iCs/>
          <w:sz w:val="18"/>
          <w:szCs w:val="18"/>
        </w:rPr>
      </w:pPr>
      <w:r w:rsidRPr="005F4300">
        <w:rPr>
          <w:rFonts w:ascii="Segoe UI" w:hAnsi="Segoe UI" w:cs="Segoe UI"/>
          <w:i/>
          <w:iCs/>
          <w:sz w:val="18"/>
          <w:szCs w:val="18"/>
        </w:rPr>
        <w:t>BBA.LLB 4th Year, Hindustan Institute of Technology and Science, Chennai, India</w:t>
      </w:r>
    </w:p>
    <w:p w14:paraId="56DAEA86" w14:textId="7410A293" w:rsidR="003D28E9" w:rsidRDefault="00000000">
      <w:pPr>
        <w:spacing w:before="100" w:beforeAutospacing="1" w:after="100" w:afterAutospacing="1"/>
        <w:ind w:right="80"/>
        <w:contextualSpacing/>
        <w:outlineLvl w:val="0"/>
        <w:rPr>
          <w:rFonts w:ascii="Segoe UI" w:eastAsia="SimSun" w:hAnsi="Segoe UI" w:cs="Segoe UI"/>
          <w:sz w:val="18"/>
          <w:szCs w:val="18"/>
          <w:lang w:eastAsia="zh-CN"/>
        </w:rPr>
      </w:pPr>
      <w:r>
        <w:rPr>
          <w:rFonts w:ascii="Segoe UI" w:eastAsia="Times New Roman" w:hAnsi="Segoe UI" w:cs="Segoe UI"/>
          <w:b/>
          <w:bCs/>
          <w:iCs/>
          <w:sz w:val="18"/>
          <w:szCs w:val="18"/>
          <w:lang w:eastAsia="en-GB"/>
        </w:rPr>
        <w:t>Corresponding Author</w:t>
      </w:r>
      <w:r>
        <w:rPr>
          <w:rFonts w:ascii="Segoe UI" w:eastAsia="Times New Roman" w:hAnsi="Segoe UI" w:cs="Segoe UI"/>
          <w:iCs/>
          <w:sz w:val="18"/>
          <w:szCs w:val="18"/>
          <w:lang w:eastAsia="en-GB"/>
        </w:rPr>
        <w:t>:</w:t>
      </w:r>
      <w:r>
        <w:rPr>
          <w:rFonts w:ascii="Segoe UI" w:eastAsia="Times New Roman" w:hAnsi="Segoe UI" w:cs="Segoe UI"/>
          <w:b/>
          <w:bCs/>
          <w:iCs/>
          <w:color w:val="3B476B"/>
          <w:sz w:val="18"/>
          <w:szCs w:val="18"/>
          <w:lang w:eastAsia="en-GB"/>
        </w:rPr>
        <w:t xml:space="preserve"> </w:t>
      </w:r>
      <w:r w:rsidR="005F4300" w:rsidRPr="005F4300">
        <w:rPr>
          <w:rFonts w:ascii="Segoe UI" w:eastAsia="SimSun" w:hAnsi="Segoe UI" w:cs="Segoe UI"/>
          <w:sz w:val="18"/>
          <w:szCs w:val="18"/>
          <w:lang w:eastAsia="zh-CN"/>
        </w:rPr>
        <w:t xml:space="preserve">Srinidhi </w:t>
      </w:r>
      <w:proofErr w:type="spellStart"/>
      <w:r w:rsidR="005F4300" w:rsidRPr="005F4300">
        <w:rPr>
          <w:rFonts w:ascii="Segoe UI" w:eastAsia="SimSun" w:hAnsi="Segoe UI" w:cs="Segoe UI"/>
          <w:sz w:val="18"/>
          <w:szCs w:val="18"/>
          <w:lang w:eastAsia="zh-CN"/>
        </w:rPr>
        <w:t>Premanandh</w:t>
      </w:r>
      <w:proofErr w:type="spellEnd"/>
      <w:r>
        <w:rPr>
          <w:rFonts w:ascii="Segoe UI" w:hAnsi="Segoe UI" w:cs="Segoe UI"/>
          <w:sz w:val="18"/>
          <w:szCs w:val="18"/>
        </w:rPr>
        <w:t xml:space="preserve">, </w:t>
      </w:r>
      <w:r>
        <w:rPr>
          <w:rFonts w:ascii="Segoe UI" w:hAnsi="Segoe UI" w:cs="Segoe UI"/>
          <w:b/>
          <w:bCs/>
          <w:sz w:val="18"/>
          <w:szCs w:val="18"/>
        </w:rPr>
        <w:t>E-mail</w:t>
      </w:r>
      <w:r>
        <w:rPr>
          <w:rFonts w:ascii="Segoe UI" w:hAnsi="Segoe UI" w:cs="Segoe UI"/>
          <w:sz w:val="18"/>
          <w:szCs w:val="18"/>
        </w:rPr>
        <w:t xml:space="preserve">: </w:t>
      </w:r>
      <w:r w:rsidR="005F4300" w:rsidRPr="005F4300">
        <w:rPr>
          <w:rFonts w:ascii="Segoe UI" w:eastAsia="SimSun" w:hAnsi="Segoe UI" w:cs="Segoe UI"/>
          <w:sz w:val="18"/>
          <w:szCs w:val="18"/>
          <w:lang w:eastAsia="zh-CN"/>
        </w:rPr>
        <w:t>srinidhipremanandh@gmail.com</w:t>
      </w:r>
    </w:p>
    <w:p w14:paraId="27640C05" w14:textId="77777777" w:rsidR="003D28E9" w:rsidRDefault="003D28E9">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3D28E9" w14:paraId="2F0B642D" w14:textId="77777777">
        <w:tc>
          <w:tcPr>
            <w:tcW w:w="10440" w:type="dxa"/>
          </w:tcPr>
          <w:p w14:paraId="442DE087" w14:textId="77777777" w:rsidR="003D28E9" w:rsidRDefault="00000000">
            <w:pPr>
              <w:keepNext/>
              <w:keepLines/>
              <w:spacing w:before="120" w:after="0" w:line="240" w:lineRule="auto"/>
              <w:jc w:val="both"/>
              <w:outlineLvl w:val="0"/>
              <w:rPr>
                <w:rFonts w:ascii="Segoe UI" w:hAnsi="Segoe UI" w:cs="Segoe UI"/>
                <w:sz w:val="18"/>
                <w:szCs w:val="18"/>
              </w:rPr>
            </w:pPr>
            <w:r>
              <w:rPr>
                <w:rFonts w:ascii="Segoe UI" w:hAnsi="Segoe UI" w:cs="Segoe UI"/>
                <w:b/>
                <w:bCs/>
                <w:color w:val="FF0000"/>
                <w:sz w:val="20"/>
                <w:szCs w:val="20"/>
              </w:rPr>
              <w:t>|</w:t>
            </w:r>
            <w:r>
              <w:rPr>
                <w:rFonts w:ascii="Segoe UI" w:hAnsi="Segoe UI" w:cs="Segoe UI"/>
                <w:b/>
                <w:bCs/>
                <w:sz w:val="20"/>
                <w:szCs w:val="20"/>
              </w:rPr>
              <w:t xml:space="preserve"> ABSTRACT</w:t>
            </w:r>
          </w:p>
        </w:tc>
      </w:tr>
      <w:tr w:rsidR="003D28E9" w14:paraId="4A65EEB3" w14:textId="77777777">
        <w:tc>
          <w:tcPr>
            <w:tcW w:w="10440" w:type="dxa"/>
          </w:tcPr>
          <w:p w14:paraId="630ED09C" w14:textId="60831336" w:rsidR="003D28E9" w:rsidRDefault="005F4300">
            <w:pPr>
              <w:spacing w:after="0" w:line="240" w:lineRule="auto"/>
              <w:jc w:val="both"/>
              <w:rPr>
                <w:rFonts w:ascii="Segoe UI" w:hAnsi="Segoe UI" w:cs="Segoe UI"/>
                <w:sz w:val="18"/>
                <w:szCs w:val="18"/>
                <w:lang w:val="en-GB"/>
              </w:rPr>
            </w:pPr>
            <w:r w:rsidRPr="005F4300">
              <w:rPr>
                <w:rFonts w:ascii="Segoe UI" w:hAnsi="Segoe UI" w:cs="Segoe UI"/>
                <w:sz w:val="18"/>
                <w:szCs w:val="18"/>
                <w:lang w:val="en-GB"/>
              </w:rPr>
              <w:t>The rapid advance of Artificial Intelligence into courtrooms and legal systems has inspired both admiration and anxiety in almost equal measure, which, in legal discourse, is usually a sign that something important is happening. This paper examines the growing role of AI in the Indian judiciary, a system presently carrying a burden of over 50 million pending cases, where justice often moves with deliberation not entirely of its own choosing. It further evaluates the constitutional, legal, and ethical consequences of entrusting judicial functions, even partially, to algorithmic tools that possess remarkable efficiency, though not necessarily wisdom. Drawing upon Indian constitutional principles, comparative jurisprudence from the United States and the European Union, and evolving regulatory instruments such as the EU AI Act, this paper examines four issues of considerable confusion. First, whether algorithmic bias can survive the scrutiny of Articles 14 and 15 of the Constitution, which are not particularly hospitable to discrimination, whether human or digital. Secondly, whether opaque AI systems offend the guarantee of due process under Article 21, especially when decisions emerge from what is politely described as the “black box” and impolitely experienced as one. Thirdly, the paper considers the problem of accountability and the growing necessity of explainability in AI- assisted adjudication, for a system of justice cannot merely pronounce conclusions; it must also reveal the path by which it arrived at them. Finally, it analyses concerns relating to data privacy and evidentiary integrity under the Digital Personal Data Protection Act, 2023. The paper concludes by proposing a tiered, rights- based regulatory framework for the integration of AI into Indian courts, anchored in transparency, non- discrimination, judicial sovereignty, and meaningful human oversight, the last remaining indispensable because constitutional adjudication requires not only analytical precision, but institutional accountability grounded in human judgment.</w:t>
            </w:r>
          </w:p>
        </w:tc>
      </w:tr>
      <w:tr w:rsidR="003D28E9" w14:paraId="1BDA0DEC" w14:textId="77777777">
        <w:tc>
          <w:tcPr>
            <w:tcW w:w="10440" w:type="dxa"/>
          </w:tcPr>
          <w:p w14:paraId="438336CC" w14:textId="77777777" w:rsidR="003D28E9" w:rsidRDefault="00000000">
            <w:pPr>
              <w:keepNext/>
              <w:keepLines/>
              <w:spacing w:before="120" w:after="0" w:line="240" w:lineRule="auto"/>
              <w:jc w:val="both"/>
              <w:outlineLvl w:val="0"/>
              <w:rPr>
                <w:rFonts w:ascii="Segoe UI" w:hAnsi="Segoe UI" w:cs="Segoe UI"/>
                <w:sz w:val="18"/>
                <w:szCs w:val="18"/>
              </w:rPr>
            </w:pPr>
            <w:r>
              <w:rPr>
                <w:rFonts w:ascii="Segoe UI" w:hAnsi="Segoe UI" w:cs="Segoe UI"/>
                <w:b/>
                <w:bCs/>
                <w:color w:val="FF0000"/>
                <w:sz w:val="20"/>
                <w:szCs w:val="20"/>
              </w:rPr>
              <w:t>|</w:t>
            </w:r>
            <w:r>
              <w:rPr>
                <w:rFonts w:ascii="Segoe UI" w:hAnsi="Segoe UI" w:cs="Segoe UI"/>
                <w:b/>
                <w:bCs/>
                <w:sz w:val="20"/>
                <w:szCs w:val="20"/>
              </w:rPr>
              <w:t xml:space="preserve"> KEYWORDS</w:t>
            </w:r>
          </w:p>
        </w:tc>
      </w:tr>
      <w:tr w:rsidR="003D28E9" w14:paraId="7683C9A3" w14:textId="77777777">
        <w:tc>
          <w:tcPr>
            <w:tcW w:w="10440" w:type="dxa"/>
          </w:tcPr>
          <w:p w14:paraId="7C750B18" w14:textId="77777777" w:rsidR="005F4300" w:rsidRDefault="005F4300">
            <w:pPr>
              <w:keepNext/>
              <w:keepLines/>
              <w:spacing w:before="120" w:after="0" w:line="240" w:lineRule="auto"/>
              <w:ind w:left="-90"/>
              <w:jc w:val="both"/>
              <w:outlineLvl w:val="0"/>
              <w:rPr>
                <w:rFonts w:ascii="Segoe UI" w:hAnsi="Segoe UI" w:cs="Segoe UI"/>
                <w:sz w:val="18"/>
                <w:szCs w:val="18"/>
                <w:lang w:val="en-GB"/>
              </w:rPr>
            </w:pPr>
            <w:r w:rsidRPr="005F4300">
              <w:rPr>
                <w:rFonts w:ascii="Segoe UI" w:hAnsi="Segoe UI" w:cs="Segoe UI"/>
                <w:sz w:val="18"/>
                <w:szCs w:val="18"/>
                <w:lang w:val="en-GB"/>
              </w:rPr>
              <w:t>Artificial Intelligence, Indian Judiciary, Algorithmic Bias, Due Process, EU AI Act, Digital Personal Data Protection Act, Judicial Accountability, SUPACE, Explainability.</w:t>
            </w:r>
          </w:p>
          <w:p w14:paraId="2D3FAFE0" w14:textId="73ED94DE" w:rsidR="003D28E9" w:rsidRDefault="00000000">
            <w:pPr>
              <w:keepNext/>
              <w:keepLines/>
              <w:spacing w:before="120" w:after="0" w:line="240" w:lineRule="auto"/>
              <w:ind w:left="-90"/>
              <w:jc w:val="both"/>
              <w:outlineLvl w:val="0"/>
              <w:rPr>
                <w:rFonts w:ascii="Segoe UI" w:hAnsi="Segoe UI" w:cs="Segoe UI"/>
                <w:sz w:val="20"/>
                <w:szCs w:val="20"/>
              </w:rPr>
            </w:pPr>
            <w:r>
              <w:rPr>
                <w:rFonts w:ascii="Segoe UI" w:hAnsi="Segoe UI" w:cs="Segoe UI"/>
                <w:b/>
                <w:bCs/>
                <w:color w:val="FF0000"/>
                <w:sz w:val="20"/>
                <w:szCs w:val="20"/>
              </w:rPr>
              <w:t xml:space="preserve"> |</w:t>
            </w:r>
            <w:r>
              <w:rPr>
                <w:rFonts w:ascii="Segoe UI" w:hAnsi="Segoe UI" w:cs="Segoe UI"/>
                <w:b/>
                <w:bCs/>
                <w:sz w:val="20"/>
                <w:szCs w:val="20"/>
              </w:rPr>
              <w:t xml:space="preserve"> ARTICLE INFORMATION</w:t>
            </w:r>
          </w:p>
          <w:p w14:paraId="7F4AE017" w14:textId="122EF717" w:rsidR="003D28E9" w:rsidRDefault="00000000">
            <w:pPr>
              <w:keepNext/>
              <w:keepLines/>
              <w:spacing w:before="120" w:after="0" w:line="240" w:lineRule="auto"/>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 xml:space="preserve">10 </w:t>
            </w:r>
            <w:r w:rsidR="005F4300">
              <w:rPr>
                <w:rFonts w:ascii="Segoe UI" w:hAnsi="Segoe UI" w:cs="Segoe UI"/>
                <w:sz w:val="20"/>
                <w:szCs w:val="20"/>
              </w:rPr>
              <w:t>May</w:t>
            </w:r>
            <w:r>
              <w:rPr>
                <w:rFonts w:ascii="Segoe UI" w:hAnsi="Segoe UI" w:cs="Segoe UI"/>
                <w:sz w:val="20"/>
                <w:szCs w:val="20"/>
              </w:rPr>
              <w:t xml:space="preserve"> 2025</w:t>
            </w:r>
            <w:r>
              <w:rPr>
                <w:rFonts w:ascii="Segoe UI" w:hAnsi="Segoe UI" w:cs="Segoe UI"/>
                <w:b/>
                <w:bCs/>
                <w:sz w:val="20"/>
                <w:szCs w:val="20"/>
              </w:rPr>
              <w:t xml:space="preserve">                          PUBLISHED: </w:t>
            </w:r>
            <w:r w:rsidR="005F4300">
              <w:rPr>
                <w:rFonts w:ascii="Segoe UI" w:hAnsi="Segoe UI" w:cs="Segoe UI"/>
                <w:sz w:val="20"/>
                <w:szCs w:val="20"/>
              </w:rPr>
              <w:t>10</w:t>
            </w:r>
            <w:r>
              <w:rPr>
                <w:rFonts w:ascii="Segoe UI" w:hAnsi="Segoe UI" w:cs="Segoe UI"/>
                <w:sz w:val="20"/>
                <w:szCs w:val="20"/>
              </w:rPr>
              <w:t xml:space="preserve"> </w:t>
            </w:r>
            <w:r w:rsidR="005F4300">
              <w:rPr>
                <w:rFonts w:ascii="Segoe UI" w:hAnsi="Segoe UI" w:cs="Segoe UI"/>
                <w:sz w:val="20"/>
                <w:szCs w:val="20"/>
              </w:rPr>
              <w:t>June</w:t>
            </w:r>
            <w:r>
              <w:rPr>
                <w:rFonts w:ascii="Segoe UI" w:hAnsi="Segoe UI" w:cs="Segoe UI"/>
                <w:sz w:val="20"/>
                <w:szCs w:val="20"/>
              </w:rPr>
              <w:t xml:space="preserve"> 2026</w:t>
            </w:r>
            <w:r>
              <w:rPr>
                <w:rFonts w:ascii="Segoe UI" w:hAnsi="Segoe UI" w:cs="Segoe UI"/>
                <w:b/>
                <w:bCs/>
                <w:sz w:val="20"/>
                <w:szCs w:val="20"/>
              </w:rPr>
              <w:t xml:space="preserve">                            DOI: </w:t>
            </w:r>
            <w:r>
              <w:rPr>
                <w:rFonts w:ascii="Segoe UI" w:hAnsi="Segoe UI" w:cs="Segoe UI"/>
                <w:sz w:val="20"/>
                <w:szCs w:val="20"/>
              </w:rPr>
              <w:t>10.32996/ijlps.2026.8.5.</w:t>
            </w:r>
            <w:r w:rsidR="005F4300">
              <w:rPr>
                <w:rFonts w:ascii="Segoe UI" w:hAnsi="Segoe UI" w:cs="Segoe UI"/>
                <w:sz w:val="20"/>
                <w:szCs w:val="20"/>
              </w:rPr>
              <w:t>6</w:t>
            </w:r>
          </w:p>
        </w:tc>
      </w:tr>
    </w:tbl>
    <w:p w14:paraId="38DB7903" w14:textId="77777777" w:rsidR="003D28E9" w:rsidRDefault="003D28E9">
      <w:pPr>
        <w:keepNext/>
        <w:keepLines/>
        <w:pBdr>
          <w:bottom w:val="single" w:sz="4" w:space="1" w:color="auto"/>
        </w:pBdr>
        <w:spacing w:before="120"/>
        <w:outlineLvl w:val="0"/>
        <w:rPr>
          <w:rFonts w:ascii="Segoe UI" w:hAnsi="Segoe UI" w:cs="Segoe UI"/>
          <w:sz w:val="18"/>
          <w:szCs w:val="18"/>
          <w:lang w:val="en-GB"/>
        </w:rPr>
      </w:pPr>
    </w:p>
    <w:p w14:paraId="3FBCEA5D" w14:textId="77777777" w:rsidR="005F4300" w:rsidRPr="005F4300" w:rsidRDefault="005F4300" w:rsidP="005F4300">
      <w:pPr>
        <w:spacing w:line="240" w:lineRule="auto"/>
        <w:rPr>
          <w:rFonts w:ascii="Segoe UI" w:hAnsi="Segoe UI" w:cs="Segoe UI"/>
          <w:sz w:val="18"/>
          <w:szCs w:val="18"/>
        </w:rPr>
      </w:pPr>
      <w:r w:rsidRPr="005F4300">
        <w:rPr>
          <w:rFonts w:ascii="Segoe UI" w:hAnsi="Segoe UI" w:cs="Segoe UI"/>
          <w:b/>
          <w:sz w:val="18"/>
          <w:szCs w:val="18"/>
        </w:rPr>
        <w:t>INTRODUCTION</w:t>
      </w:r>
    </w:p>
    <w:p w14:paraId="4D77D2D1" w14:textId="77777777" w:rsidR="005F4300" w:rsidRPr="005F4300" w:rsidRDefault="005F4300" w:rsidP="005F4300">
      <w:pPr>
        <w:spacing w:after="120" w:line="240" w:lineRule="auto"/>
        <w:jc w:val="both"/>
        <w:rPr>
          <w:rFonts w:ascii="Segoe UI" w:hAnsi="Segoe UI" w:cs="Segoe UI"/>
          <w:sz w:val="18"/>
          <w:szCs w:val="18"/>
          <w:lang w:val="en-GB"/>
        </w:rPr>
      </w:pPr>
      <w:r w:rsidRPr="005F4300">
        <w:rPr>
          <w:rFonts w:ascii="Segoe UI" w:hAnsi="Segoe UI" w:cs="Segoe UI"/>
          <w:sz w:val="18"/>
          <w:szCs w:val="18"/>
          <w:lang w:val="en-GB"/>
        </w:rPr>
        <w:t xml:space="preserve">Deployment of technology in the legal arena has often been productive compelling legal systems to revisit settled assumptions. The printing press widened access to legal knowledge; the telegraph altered the landscape of commercial transactions; and faster delivery of judicial files and information through digital media are some of classic examples of technological influences. </w:t>
      </w:r>
    </w:p>
    <w:p w14:paraId="08DF7E63"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Artificial intelligence, broadly understood as the ability of machines to perform functions associated with human cognition- reasoning, learning, perception, and problem-solving, presents perhaps the most consequential challenge of them all.</w:t>
      </w:r>
    </w:p>
    <w:p w14:paraId="01004302"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In India, the urgency of this challenge is impossible to ignore. By early 2024, courts across the country were burdened with nearly 50 million pending cases, a figure so formidable that statistics begin to resemble endurance tests. The Supreme Court of India </w:t>
      </w:r>
      <w:r w:rsidRPr="005F4300">
        <w:rPr>
          <w:rFonts w:ascii="Segoe UI" w:hAnsi="Segoe UI" w:cs="Segoe UI"/>
          <w:sz w:val="18"/>
          <w:szCs w:val="18"/>
        </w:rPr>
        <w:lastRenderedPageBreak/>
        <w:t>hears thousands of matters each year, while High Courts and subordinate courts continue to struggle with delays that can outlast commercial ventures, political administrations, and occasionally the patience of litigants themselves. In these circumstances, AI appears both as a promise and a provocation: a technological remedy for inefficiency, and at the same time, a constitutional experiment whose consequences may not be easily confined.</w:t>
      </w:r>
    </w:p>
    <w:p w14:paraId="02174932"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This paper examines a question that appears deceptively straightforward but is, in truth, jurisprudentially formidable: can artificial intelligence be integrated into the Indian judiciary in a manner that remains constitutionally sound, procedurally fair and ethically defensible?</w:t>
      </w:r>
    </w:p>
    <w:p w14:paraId="525FAFBF"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paper contends that although AI possesses undeniable potential to improve judicial efficiency, its unreflective adoption may deepen systemic bias, weaken due process and gradually reduce adjudication to an exercise in computational confidence rather than judicial reasoning. Efficiency after all, is a virtue in administration, but not an independent substitute for justice.</w:t>
      </w:r>
    </w:p>
    <w:p w14:paraId="3BE61AA6"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Accordingly, the paper argues that AI must remain an aid to judicial decision making, and not its replacement. A carefully structured regulatory framework, which preserves meaningful oversight and constitutional accountability, is therefore not merely advisable but imperative. Courts may consult machines; they cannot constitutionally surrender judgment to them.</w:t>
      </w:r>
    </w:p>
    <w:p w14:paraId="05991EE3"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significance of this enquiry extends well beyond Indian Courtrooms. India, home to the world’s largest democratic judiciary and a constitutional tradition deeply committed to fundamental rights, occupies a distinctive position in the global debate on AI governance. The manner in which India responds to this challenge will shape not only the experience of millions of litigants, but also the institutional credibility of the rule of law itself. For many jurisdictions in the Global South, India may well become either a constitutional model or a constitutional warning, a distinction that legal systems generally prefer to settle carefully and not by retrospective regret.</w:t>
      </w:r>
    </w:p>
    <w:p w14:paraId="5E429001" w14:textId="77777777" w:rsidR="005F4300" w:rsidRPr="005F4300" w:rsidRDefault="005F4300" w:rsidP="005F4300">
      <w:pPr>
        <w:spacing w:line="240" w:lineRule="auto"/>
        <w:jc w:val="both"/>
        <w:rPr>
          <w:rFonts w:ascii="Segoe UI" w:hAnsi="Segoe UI" w:cs="Segoe UI"/>
          <w:sz w:val="18"/>
          <w:szCs w:val="18"/>
        </w:rPr>
      </w:pPr>
      <w:r w:rsidRPr="005F4300">
        <w:rPr>
          <w:rFonts w:ascii="Segoe UI" w:hAnsi="Segoe UI" w:cs="Segoe UI"/>
          <w:b/>
          <w:sz w:val="18"/>
          <w:szCs w:val="18"/>
        </w:rPr>
        <w:t>II. BACKGROUND: TECHNOLOGY IN THE INDIAN COURTS AND THE EMERGENCE OF AI</w:t>
      </w:r>
    </w:p>
    <w:p w14:paraId="3A9B504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 Historical Integration of Technology in Indian Courts</w:t>
      </w:r>
    </w:p>
    <w:p w14:paraId="73638C6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 Indian judiciary’s engagement with technology did not begin with Artificial Intelligence, though at times the arrival of a functioning PDF in court was treated with comparable astonishment. The process of judicial </w:t>
      </w:r>
      <w:proofErr w:type="spellStart"/>
      <w:r w:rsidRPr="005F4300">
        <w:rPr>
          <w:rFonts w:ascii="Segoe UI" w:hAnsi="Segoe UI" w:cs="Segoe UI"/>
          <w:sz w:val="18"/>
          <w:szCs w:val="18"/>
        </w:rPr>
        <w:t>digitisation</w:t>
      </w:r>
      <w:proofErr w:type="spellEnd"/>
      <w:r w:rsidRPr="005F4300">
        <w:rPr>
          <w:rFonts w:ascii="Segoe UI" w:hAnsi="Segoe UI" w:cs="Segoe UI"/>
          <w:sz w:val="18"/>
          <w:szCs w:val="18"/>
        </w:rPr>
        <w:t xml:space="preserve"> formally commenced with the e-Courts Mission Mode Project under the National e-Governance Plan in 2005, aimed at </w:t>
      </w:r>
      <w:proofErr w:type="spellStart"/>
      <w:r w:rsidRPr="005F4300">
        <w:rPr>
          <w:rFonts w:ascii="Segoe UI" w:hAnsi="Segoe UI" w:cs="Segoe UI"/>
          <w:sz w:val="18"/>
          <w:szCs w:val="18"/>
        </w:rPr>
        <w:t>computerising</w:t>
      </w:r>
      <w:proofErr w:type="spellEnd"/>
      <w:r w:rsidRPr="005F4300">
        <w:rPr>
          <w:rFonts w:ascii="Segoe UI" w:hAnsi="Segoe UI" w:cs="Segoe UI"/>
          <w:sz w:val="18"/>
          <w:szCs w:val="18"/>
        </w:rPr>
        <w:t xml:space="preserve"> district and subordinate courts across the country. By the time Phase III of the project was launched in 2023, Indian courts had gradually embraced electronic filing, digital cause lists, and online access to judgments through the National Judicial Data Grid (NJDG) — developments which, for litigants accustomed to vanishing files and illegible registers, bordered on revolutionary optimism.</w:t>
      </w:r>
    </w:p>
    <w:p w14:paraId="4D0F5398"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National Judicial Data Grid, operational since 2015, is today among the largest judicial databases in the world, consolidating real-time information from more than 18,000 court establishments. It reflects, perhaps for the first time in Indian legal history, the comforting possibility that the judiciary may know exactly how many pending cases exist, even if resolving them remains a more ambitious undertaking.</w:t>
      </w:r>
    </w:p>
    <w:p w14:paraId="6006BCF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 judiciary’s direct encounter with Artificial Intelligence emerged more explicitly with SUPACE, the Supreme Court Portal for Assistance in Court’s Efficiency which was introduced in 2021 under the leadership of S. A. Bobde. It employs machine learning to identify and </w:t>
      </w:r>
      <w:proofErr w:type="spellStart"/>
      <w:r w:rsidRPr="005F4300">
        <w:rPr>
          <w:rFonts w:ascii="Segoe UI" w:hAnsi="Segoe UI" w:cs="Segoe UI"/>
          <w:sz w:val="18"/>
          <w:szCs w:val="18"/>
        </w:rPr>
        <w:t>organise</w:t>
      </w:r>
      <w:proofErr w:type="spellEnd"/>
      <w:r w:rsidRPr="005F4300">
        <w:rPr>
          <w:rFonts w:ascii="Segoe UI" w:hAnsi="Segoe UI" w:cs="Segoe UI"/>
          <w:sz w:val="18"/>
          <w:szCs w:val="18"/>
        </w:rPr>
        <w:t xml:space="preserve"> relevant case materials for judges, functioning essentially as an intelligent research assistant rather than an adjudicator. The distinction is constitutionally significant. A research assistant may help locate precedent; it cannot acquire judicial wisdom merely by processing larger quantities of data at alarming speed. </w:t>
      </w:r>
    </w:p>
    <w:p w14:paraId="7D8C4C42"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This restrained approach reflects an important institutional caution. As Justice Felix Frankfurter once observed, “The history of liberty has largely been the history of observance of procedural safeguards.” Courts, therefore, remain understandably reluctant to replace human deliberation with algorithmic certainty — particularly since algorithms, unlike judges, cannot yet be cross-examined, held in contempt, or persuaded by a well-timed constitutional argument.</w:t>
      </w:r>
    </w:p>
    <w:p w14:paraId="0A567BD6"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B. The Emergence of AI Tools in Global Judicial Systems</w:t>
      </w:r>
    </w:p>
    <w:p w14:paraId="32D97DF6"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Across the world, Artificial Intelligence is no longer a distant technological possibility within judicial systems, but an increasingly embedded reality with applications spanning a wide and evolving spectrum. At the more restrained end are assistive technologies- legal research platforms such as ROSS Intelligence, built upon IBM Watson, and Indian tools such as SCC Online AI search which enable lawyers and judges to navigate oceans of precedent with something previously unfamiliar to the profession: speed. They do not decide cases; they merely spare human beings the fate of spending six sleepless hours locating a citation hidden in a 1994 supplementary volume.</w:t>
      </w:r>
    </w:p>
    <w:p w14:paraId="5CC20934"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More sophisticated systems, however, participate more directly in adjudicative processes themselves. Among the most discussed are predictive analysis tools employed in criminal sentencing and bail determinations. The American COMPAS system – Correctional Offender Management Profiling for Alternative Sanctions – evaluates the likelihood of recidivism through </w:t>
      </w:r>
      <w:r w:rsidRPr="005F4300">
        <w:rPr>
          <w:rFonts w:ascii="Segoe UI" w:hAnsi="Segoe UI" w:cs="Segoe UI"/>
          <w:sz w:val="18"/>
          <w:szCs w:val="18"/>
        </w:rPr>
        <w:lastRenderedPageBreak/>
        <w:t>algorithmic risk assessment, thereby assisting judges with data-driven insights that human intuition alone may not consistently provide. Its consideration by courts in the United States, particularly in State v. Loomis, transformed what might once have been regarded as technological experimentation into a serious jurisprudential conversation on the future of judicial reasoning.</w:t>
      </w:r>
    </w:p>
    <w:p w14:paraId="1AE7EAA2"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Yet the global experience demonstrates that AI in law is not merely about automation; it is about augmentation. China’s Smart Court initiative, developed under the authority of the Supreme People’s Court, employs AI to predict outcomes, </w:t>
      </w:r>
      <w:proofErr w:type="spellStart"/>
      <w:r w:rsidRPr="005F4300">
        <w:rPr>
          <w:rFonts w:ascii="Segoe UI" w:hAnsi="Segoe UI" w:cs="Segoe UI"/>
          <w:sz w:val="18"/>
          <w:szCs w:val="18"/>
        </w:rPr>
        <w:t>organise</w:t>
      </w:r>
      <w:proofErr w:type="spellEnd"/>
      <w:r w:rsidRPr="005F4300">
        <w:rPr>
          <w:rFonts w:ascii="Segoe UI" w:hAnsi="Segoe UI" w:cs="Segoe UI"/>
          <w:sz w:val="18"/>
          <w:szCs w:val="18"/>
        </w:rPr>
        <w:t xml:space="preserve"> evidence, and generate draft judgments with a diligence that many litigation chambers have spent decades attempting to achieve through motivational speeches and excessive coffee. Estonia, in its own characteristically minimalist fashion, has experimented with AI adjudicators for small claims disputes involving modest sums, on the sensible assumption that not every disagreement over €7000 requires a philosophical meditation on civilization.</w:t>
      </w:r>
    </w:p>
    <w:p w14:paraId="4E20FB0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These developments are not distant curiosities. They represent the emergence of a new judicial temperament – one in which courts increasingly rely upon computational assistance not to replace human judgment, but to refine it. Properly deployed, AI offers the possibility of a judiciary that is faster, more consistent, and perhaps even more accessible. The law has always evolved alongside the tools available to it. Quills gave way to typewriters; typewriters surrendered to databases; and databases are now yielding, somewhat inevitably, to intelligence systems capable of processing in seconds what would otherwise consume weeks of human </w:t>
      </w:r>
      <w:proofErr w:type="spellStart"/>
      <w:r w:rsidRPr="005F4300">
        <w:rPr>
          <w:rFonts w:ascii="Segoe UI" w:hAnsi="Segoe UI" w:cs="Segoe UI"/>
          <w:sz w:val="18"/>
          <w:szCs w:val="18"/>
        </w:rPr>
        <w:t>labour</w:t>
      </w:r>
      <w:proofErr w:type="spellEnd"/>
      <w:r w:rsidRPr="005F4300">
        <w:rPr>
          <w:rFonts w:ascii="Segoe UI" w:hAnsi="Segoe UI" w:cs="Segoe UI"/>
          <w:sz w:val="18"/>
          <w:szCs w:val="18"/>
        </w:rPr>
        <w:t xml:space="preserve"> and several cups of institutional coffee.</w:t>
      </w:r>
    </w:p>
    <w:p w14:paraId="624C1662" w14:textId="77777777" w:rsidR="005F4300" w:rsidRPr="005F4300" w:rsidRDefault="005F4300" w:rsidP="005F4300">
      <w:pPr>
        <w:spacing w:line="240" w:lineRule="auto"/>
        <w:jc w:val="both"/>
        <w:rPr>
          <w:rFonts w:ascii="Segoe UI" w:hAnsi="Segoe UI" w:cs="Segoe UI"/>
          <w:sz w:val="18"/>
          <w:szCs w:val="18"/>
        </w:rPr>
      </w:pPr>
      <w:r w:rsidRPr="005F4300">
        <w:rPr>
          <w:rFonts w:ascii="Segoe UI" w:hAnsi="Segoe UI" w:cs="Segoe UI"/>
          <w:b/>
          <w:sz w:val="18"/>
          <w:szCs w:val="18"/>
        </w:rPr>
        <w:t>III. KEY ISSUES IN AI-ASSISTED ADJUDICATION IN INDIA</w:t>
      </w:r>
    </w:p>
    <w:p w14:paraId="1C03A6B0"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 Algorithmic Bias and Equal Protection Under Articles 14 and 15</w:t>
      </w:r>
    </w:p>
    <w:p w14:paraId="531E75CB"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Perhaps the most serious constitutional concern surrounding judicial AI lies in the possibility of algorithmic bias. Artificial Intelligence systems learn from historical data; and history, regrettably, is not always an impartial teacher. In societies shaped by longstanding structural inequalities, datasets often carry the invisible residue of social prejudice. Consequently, an AI system trained on past judicial outcomes may inadvertently reproduce patterns of discrimination while appearing impeccably neutral in form — a reminder that mathematics, though precise, is not automatically innocent.</w:t>
      </w:r>
    </w:p>
    <w:p w14:paraId="5299CE01"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In the Indian context, this concern acquires unmistakable constitutional significance under Articles 14 and 15 of the Constitution. The guarantee of equality does not merely prohibit overt discrimination; it also restrains arbitrariness in state action. In E.P. </w:t>
      </w:r>
      <w:proofErr w:type="spellStart"/>
      <w:r w:rsidRPr="005F4300">
        <w:rPr>
          <w:rFonts w:ascii="Segoe UI" w:hAnsi="Segoe UI" w:cs="Segoe UI"/>
          <w:sz w:val="18"/>
          <w:szCs w:val="18"/>
        </w:rPr>
        <w:t>Royappa</w:t>
      </w:r>
      <w:proofErr w:type="spellEnd"/>
      <w:r w:rsidRPr="005F4300">
        <w:rPr>
          <w:rFonts w:ascii="Segoe UI" w:hAnsi="Segoe UI" w:cs="Segoe UI"/>
          <w:sz w:val="18"/>
          <w:szCs w:val="18"/>
        </w:rPr>
        <w:t xml:space="preserve"> v. State of Tamil Nadu, the Supreme Court of India famously expanded Article 14 into a doctrine against arbitrariness itself, </w:t>
      </w:r>
      <w:proofErr w:type="spellStart"/>
      <w:r w:rsidRPr="005F4300">
        <w:rPr>
          <w:rFonts w:ascii="Segoe UI" w:hAnsi="Segoe UI" w:cs="Segoe UI"/>
          <w:sz w:val="18"/>
          <w:szCs w:val="18"/>
        </w:rPr>
        <w:t>recognising</w:t>
      </w:r>
      <w:proofErr w:type="spellEnd"/>
      <w:r w:rsidRPr="005F4300">
        <w:rPr>
          <w:rFonts w:ascii="Segoe UI" w:hAnsi="Segoe UI" w:cs="Segoe UI"/>
          <w:sz w:val="18"/>
          <w:szCs w:val="18"/>
        </w:rPr>
        <w:t xml:space="preserve"> that unequal outcomes may emerge even without openly unequal intentions. An AI system deployed within judicial institutions, therefore, cannot escape constitutional scrutiny merely because its conclusions are generated by code rather than by conscious prejudice. Constitutional injuries remain injuries even when delivered with algorithmic efficiency.</w:t>
      </w:r>
    </w:p>
    <w:p w14:paraId="7180CD5C"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challenge becomes more complex in a society as layered and intersectional as India’s. A predictive AI tool trained on historical data from subordinate courts could absorb implicit patterns relating to caste, religion, economic status, or geography — categories which existing empirical studies already associate with disparities in arrest, prosecution, and conviction rates. The widely discussed ProPublica analysis of the American COMPAS system, which found that Black defendants were disproportionately flagged as future offenders, illustrates how algorithmic systems may inherit social bias while presenting themselves with the calm confidence of statistical objectivity. Computers, it appears, may occasionally learn society’s prejudices faster than society learns to abandon them.</w:t>
      </w:r>
    </w:p>
    <w:p w14:paraId="755329D2"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Yet these risks do not justify abandoning judicial AI altogether. On the contrary, they underscore the necessity of designing systems that are constitutionally disciplined, transparent, and continuously reviewable. Human decision-making itself is hardly immune from inconsistency or unconscious bias; indeed, much of constitutional law exists precisely because human institutions have historically required restraint. Properly regulated AI may, in time, reduce certain forms of arbitrariness by introducing greater consistency and data-based scrutiny into judicial administration.</w:t>
      </w:r>
    </w:p>
    <w:p w14:paraId="1278509B"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For this reason, the deployment of judicial AI must be accompanied by rigorous algorithmic audits conducted by independent technical experts with access to training datasets and model architecture. Such audits should examine disparate impact across caste, religion, gender, and geographic categories, adopting standards that go beyond superficial neutrality and engage seriously with substantive equality. If Artificial Intelligence is to assist constitutional courts, it must first learn a constitutional virtue that legal systems themselves continue to pursue with difficulty: fairness that is not merely procedural, but genuinely equitable.</w:t>
      </w:r>
    </w:p>
    <w:p w14:paraId="2CB912C4"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B. Due Process and the Black-Box Problem Under Article 21</w:t>
      </w:r>
    </w:p>
    <w:p w14:paraId="5311B57B"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Article 21 of the Constitution of India, as expansively interpreted in Maneka Gandhi v. Union of India, guarantees that no person shall be deprived of life or personal liberty except through a procedure that is fair, just, and reasonable. The constitutional difficulty with opaque AI systems in judicial decision-making lies not merely in their technological sophistication, but in their inability to adequately explain themselves. A legal system founded upon reasoned adjudication cannot comfortably </w:t>
      </w:r>
      <w:r w:rsidRPr="005F4300">
        <w:rPr>
          <w:rFonts w:ascii="Segoe UI" w:hAnsi="Segoe UI" w:cs="Segoe UI"/>
          <w:sz w:val="18"/>
          <w:szCs w:val="18"/>
        </w:rPr>
        <w:lastRenderedPageBreak/>
        <w:t>accommodate outcomes that arrive with mathematical certainty but without intelligible reasoning. In constitutional democracies, conclusions are expected to show their workings.</w:t>
      </w:r>
    </w:p>
    <w:p w14:paraId="696C0613"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This concern is commonly described as the “black-box” problem. Modern deep learning systems, including neural networks and large language models, often operate through internal computational processes too complex to be translated into clear human explanations. If a bail applicant receives an adverse risk assessment generated by an AI model whose reasoning neither the applicant nor the presiding judge can meaningfully interrogate, the individual is effectively denied the opportunity to challenge the basis of that decision. Such opacity strikes at the very core of the </w:t>
      </w:r>
      <w:proofErr w:type="spellStart"/>
      <w:r w:rsidRPr="005F4300">
        <w:rPr>
          <w:rFonts w:ascii="Segoe UI" w:hAnsi="Segoe UI" w:cs="Segoe UI"/>
          <w:sz w:val="18"/>
          <w:szCs w:val="18"/>
        </w:rPr>
        <w:t>audi</w:t>
      </w:r>
      <w:proofErr w:type="spellEnd"/>
      <w:r w:rsidRPr="005F4300">
        <w:rPr>
          <w:rFonts w:ascii="Segoe UI" w:hAnsi="Segoe UI" w:cs="Segoe UI"/>
          <w:sz w:val="18"/>
          <w:szCs w:val="18"/>
        </w:rPr>
        <w:t xml:space="preserve"> alteram partem principle — the foundational rule that no person should be condemned unheard. Justice, after all, must not only be done but must remain capable of explaining itself in comprehensible language and not merely in confident percentages.</w:t>
      </w:r>
    </w:p>
    <w:p w14:paraId="7031F14C"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At the same time, the challenge should not be mistaken for an argument against AI itself. The constitutional problem is not that machines assist judicial processes, but that assistance without transparency risks becoming authority without accountability. Properly designed AI systems may, in fact, strengthen procedural fairness by ensuring greater consistency, identifying overlooked precedents, and reducing arbitrary disparities in administrative decision-making. The constitutional objective, therefore, is not technological abstinence but constitutional supervision.</w:t>
      </w:r>
    </w:p>
    <w:p w14:paraId="4702EE1D"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 reasoning of the Supreme Court of India in Olga Tellis v. Bombay Municipal Corporation, which </w:t>
      </w:r>
      <w:proofErr w:type="spellStart"/>
      <w:r w:rsidRPr="005F4300">
        <w:rPr>
          <w:rFonts w:ascii="Segoe UI" w:hAnsi="Segoe UI" w:cs="Segoe UI"/>
          <w:sz w:val="18"/>
          <w:szCs w:val="18"/>
        </w:rPr>
        <w:t>recognised</w:t>
      </w:r>
      <w:proofErr w:type="spellEnd"/>
      <w:r w:rsidRPr="005F4300">
        <w:rPr>
          <w:rFonts w:ascii="Segoe UI" w:hAnsi="Segoe UI" w:cs="Segoe UI"/>
          <w:sz w:val="18"/>
          <w:szCs w:val="18"/>
        </w:rPr>
        <w:t xml:space="preserve"> livelihood as an integral component of Article 21, reinforces the principle that procedural fairness cannot be separated from substantive rights. A person whose liberty or rights are affected by a process they cannot comprehend is placed in a constitutionally precarious position. Recent observations of the Delhi High Court concerning automated administrative actions, particularly in relation to algorithmically generated income tax notices, further indicate an emerging judicial awareness that technological governance must remain answerable to principles of natural justice.</w:t>
      </w:r>
    </w:p>
    <w:p w14:paraId="5675B1F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Accordingly, any constitutionally defensible framework for AI-assisted adjudication must incorporate minimum procedural safeguards. These should include disclosure that AI tools were </w:t>
      </w:r>
      <w:proofErr w:type="spellStart"/>
      <w:r w:rsidRPr="005F4300">
        <w:rPr>
          <w:rFonts w:ascii="Segoe UI" w:hAnsi="Segoe UI" w:cs="Segoe UI"/>
          <w:sz w:val="18"/>
          <w:szCs w:val="18"/>
        </w:rPr>
        <w:t>utilised</w:t>
      </w:r>
      <w:proofErr w:type="spellEnd"/>
      <w:r w:rsidRPr="005F4300">
        <w:rPr>
          <w:rFonts w:ascii="Segoe UI" w:hAnsi="Segoe UI" w:cs="Segoe UI"/>
          <w:sz w:val="18"/>
          <w:szCs w:val="18"/>
        </w:rPr>
        <w:t xml:space="preserve"> in the decision-making process; provision of a plain-language explanation of the AI’s conclusions and relevant factors; an effective opportunity for parties to challenge those conclusions before a human judge; and, above all, an unequivocal guarantee that final judicial authority rests with a human decision-maker. Machines may assist in </w:t>
      </w:r>
      <w:proofErr w:type="spellStart"/>
      <w:r w:rsidRPr="005F4300">
        <w:rPr>
          <w:rFonts w:ascii="Segoe UI" w:hAnsi="Segoe UI" w:cs="Segoe UI"/>
          <w:sz w:val="18"/>
          <w:szCs w:val="18"/>
        </w:rPr>
        <w:t>analysing</w:t>
      </w:r>
      <w:proofErr w:type="spellEnd"/>
      <w:r w:rsidRPr="005F4300">
        <w:rPr>
          <w:rFonts w:ascii="Segoe UI" w:hAnsi="Segoe UI" w:cs="Segoe UI"/>
          <w:sz w:val="18"/>
          <w:szCs w:val="18"/>
        </w:rPr>
        <w:t xml:space="preserve"> disputes, but the constitutional responsibility of judging — with all its moral weight, discretion, and accountability — cannot yet be outsourced to an algorithm, however impressively it performs on a benchmark test.</w:t>
      </w:r>
    </w:p>
    <w:p w14:paraId="7C392BFD"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C. Judicial Accountability and the Imperative of Explainability</w:t>
      </w:r>
    </w:p>
    <w:p w14:paraId="38599241"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Constitutional democracy rests upon a deceptively simple premise: power must remain accountable. The legitimacy of the Indian judiciary derives not merely from the authority to decide disputes, but from the discipline of reasoned judgment. Courts do not simply announce conclusions; they explain them. The longstanding tradition of the “speaking order” reflects the constitutional belief that justice must reveal the path by which it arrived at its destination. As Benjamin N. Cardozo observed, “Justice, though due to the accused, is due to the accuser also,” a reminder that adjudication demands transparent reasoning capable of scrutiny from all sides.</w:t>
      </w:r>
    </w:p>
    <w:p w14:paraId="5F4C9F81"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Artificial Intelligence poses a subtle challenge to this tradition in at least two important respects.</w:t>
      </w:r>
    </w:p>
    <w:p w14:paraId="198FF42D"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First, AI-generated recommendations may operate as cognitive anchors, influencing judicial reasoning even when formally treated as advisory. Research in cognitive psychology consistently demonstrates that numerical indicators — including algorithmic risk scores — possess a remarkable ability to shape subsequent human judgment. A judge presented with an AI-generated “high risk” assessment may, despite the best intentions of impartiality, become subconsciously inclined toward denial of bail. Human beings, including judges, are not entirely immune to the persuasive confidence of statistics, particularly when presented in polished dashboards with percentages precise to two decimal places.</w:t>
      </w:r>
    </w:p>
    <w:p w14:paraId="429733CB"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Secondly, opacity threatens reviewability. The appellate structure functions because higher courts can examine the reasoning adopted by lower courts and determine whether legal or factual error has occurred. If judicial reasoning becomes partially dependent upon opaque algorithmic processes incapable of meaningful explanation, appellate scrutiny itself risks becoming impaired. This concern acquires particular significance in the context of the supervisory jurisdiction exercised by High Courts under Article 227 and the extraordinary powers of the Supreme Court of India under Article 136. A constitutional court cannot effectively review a conclusion if the reasoning behind it resembles an encrypted riddle comprehensible only to software engineers and perhaps one unusually confident machine.</w:t>
      </w:r>
    </w:p>
    <w:p w14:paraId="3DAADD98"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For this reason, the principle of Explainable AI (XAI) must become a foundational design requirement for all judicial AI systems. Algorithmic outputs should be accompanied by intelligible explanations capable of being understood, questioned, and reviewed within ordinary legal processes. Judges relying upon AI-assisted tools must independently evaluate and articulate the basis of their decisions, ensuring that algorithmic recommendations remain prompts for deliberation rather than substitutes for it. After </w:t>
      </w:r>
      <w:r w:rsidRPr="005F4300">
        <w:rPr>
          <w:rFonts w:ascii="Segoe UI" w:hAnsi="Segoe UI" w:cs="Segoe UI"/>
          <w:sz w:val="18"/>
          <w:szCs w:val="18"/>
        </w:rPr>
        <w:lastRenderedPageBreak/>
        <w:t>all, constitutional adjudication is not merely a computational exercise in arriving at outcomes; it is a reasoned human enterprise concerned with liberty, dignity, and the careful exercise of public power — responsibilities that cannot yet be delegated to an algorithm, however industrious it may appear.</w:t>
      </w:r>
    </w:p>
    <w:p w14:paraId="5F03EAC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D. Data Privacy and Evidentiary Standards</w:t>
      </w:r>
    </w:p>
    <w:p w14:paraId="3453D1D4"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 integration of Artificial Intelligence into judicial systems inevitably requires the large-scale processing of personal data — including litigant histories, financial records, </w:t>
      </w:r>
      <w:proofErr w:type="spellStart"/>
      <w:r w:rsidRPr="005F4300">
        <w:rPr>
          <w:rFonts w:ascii="Segoe UI" w:hAnsi="Segoe UI" w:cs="Segoe UI"/>
          <w:sz w:val="18"/>
          <w:szCs w:val="18"/>
        </w:rPr>
        <w:t>behavioural</w:t>
      </w:r>
      <w:proofErr w:type="spellEnd"/>
      <w:r w:rsidRPr="005F4300">
        <w:rPr>
          <w:rFonts w:ascii="Segoe UI" w:hAnsi="Segoe UI" w:cs="Segoe UI"/>
          <w:sz w:val="18"/>
          <w:szCs w:val="18"/>
        </w:rPr>
        <w:t xml:space="preserve"> indicators, and, in criminal proceedings, increasingly sensitive biometric information. In this respect, AI-assisted adjudication does not merely raise questions of efficiency; it also compels courts to confront the constitutional relationship between technology, privacy, and state power. In the digital era, information has become both an administrative resource and a constitutional responsibility.</w:t>
      </w:r>
    </w:p>
    <w:p w14:paraId="0EA58890"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 Digital Personal Data Protection Act, 2023 establishes India’s contemporary framework for data governance, incorporating principles such as purpose limitation, data </w:t>
      </w:r>
      <w:proofErr w:type="spellStart"/>
      <w:r w:rsidRPr="005F4300">
        <w:rPr>
          <w:rFonts w:ascii="Segoe UI" w:hAnsi="Segoe UI" w:cs="Segoe UI"/>
          <w:sz w:val="18"/>
          <w:szCs w:val="18"/>
        </w:rPr>
        <w:t>minimisation</w:t>
      </w:r>
      <w:proofErr w:type="spellEnd"/>
      <w:r w:rsidRPr="005F4300">
        <w:rPr>
          <w:rFonts w:ascii="Segoe UI" w:hAnsi="Segoe UI" w:cs="Segoe UI"/>
          <w:sz w:val="18"/>
          <w:szCs w:val="18"/>
        </w:rPr>
        <w:t>, and consent-based processing. Yet its application to judicial data processing presents questions of unusual complexity. Courts, after all, cannot function without information; but constitutional democracies must also ensure that the collection of information does not gradually become indistinguishable from unrestricted surveillance. As Louis Brandeis famously described it, the right to privacy is “the right to be let alone” — a principle considerably more difficult to preserve when algorithms are trained on vast repositories of personal data.</w:t>
      </w:r>
    </w:p>
    <w:p w14:paraId="7F74A7EB"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One immediate concern arises from the exemptions available under the DPDPA for state processing undertaken in the interests of sovereignty, security, public order, or prevention of offences. Judicial institutions, as organs of the state engaged in the administration of justice, may potentially invoke such exemptions. However, constitutional restraint demands that these exceptions be construed narrowly, particularly after the landmark decision in Justice K. S. </w:t>
      </w:r>
      <w:proofErr w:type="spellStart"/>
      <w:r w:rsidRPr="005F4300">
        <w:rPr>
          <w:rFonts w:ascii="Segoe UI" w:hAnsi="Segoe UI" w:cs="Segoe UI"/>
          <w:sz w:val="18"/>
          <w:szCs w:val="18"/>
        </w:rPr>
        <w:t>Puttaswamy</w:t>
      </w:r>
      <w:proofErr w:type="spellEnd"/>
      <w:r w:rsidRPr="005F4300">
        <w:rPr>
          <w:rFonts w:ascii="Segoe UI" w:hAnsi="Segoe UI" w:cs="Segoe UI"/>
          <w:sz w:val="18"/>
          <w:szCs w:val="18"/>
        </w:rPr>
        <w:t xml:space="preserve"> (Retd.) v. Union of India, where the Supreme Court of India </w:t>
      </w:r>
      <w:proofErr w:type="spellStart"/>
      <w:r w:rsidRPr="005F4300">
        <w:rPr>
          <w:rFonts w:ascii="Segoe UI" w:hAnsi="Segoe UI" w:cs="Segoe UI"/>
          <w:sz w:val="18"/>
          <w:szCs w:val="18"/>
        </w:rPr>
        <w:t>recognised</w:t>
      </w:r>
      <w:proofErr w:type="spellEnd"/>
      <w:r w:rsidRPr="005F4300">
        <w:rPr>
          <w:rFonts w:ascii="Segoe UI" w:hAnsi="Segoe UI" w:cs="Segoe UI"/>
          <w:sz w:val="18"/>
          <w:szCs w:val="18"/>
        </w:rPr>
        <w:t xml:space="preserve"> privacy as a fundamental right under Article 21. A constitutional right does not cease to exist merely because the data is processed efficiently, securely, or with particularly sophisticated software.</w:t>
      </w:r>
    </w:p>
    <w:p w14:paraId="395AD7A2"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Equally significant are the evidentiary challenges posed by AI-generated outputs. The </w:t>
      </w:r>
      <w:proofErr w:type="spellStart"/>
      <w:r w:rsidRPr="005F4300">
        <w:rPr>
          <w:rFonts w:ascii="Segoe UI" w:hAnsi="Segoe UI" w:cs="Segoe UI"/>
          <w:sz w:val="18"/>
          <w:szCs w:val="18"/>
        </w:rPr>
        <w:t>Bharatiya</w:t>
      </w:r>
      <w:proofErr w:type="spellEnd"/>
      <w:r w:rsidRPr="005F4300">
        <w:rPr>
          <w:rFonts w:ascii="Segoe UI" w:hAnsi="Segoe UI" w:cs="Segoe UI"/>
          <w:sz w:val="18"/>
          <w:szCs w:val="18"/>
        </w:rPr>
        <w:t xml:space="preserve"> </w:t>
      </w:r>
      <w:proofErr w:type="spellStart"/>
      <w:r w:rsidRPr="005F4300">
        <w:rPr>
          <w:rFonts w:ascii="Segoe UI" w:hAnsi="Segoe UI" w:cs="Segoe UI"/>
          <w:sz w:val="18"/>
          <w:szCs w:val="18"/>
        </w:rPr>
        <w:t>Sakshya</w:t>
      </w:r>
      <w:proofErr w:type="spellEnd"/>
      <w:r w:rsidRPr="005F4300">
        <w:rPr>
          <w:rFonts w:ascii="Segoe UI" w:hAnsi="Segoe UI" w:cs="Segoe UI"/>
          <w:sz w:val="18"/>
          <w:szCs w:val="18"/>
        </w:rPr>
        <w:t xml:space="preserve"> </w:t>
      </w:r>
      <w:proofErr w:type="spellStart"/>
      <w:r w:rsidRPr="005F4300">
        <w:rPr>
          <w:rFonts w:ascii="Segoe UI" w:hAnsi="Segoe UI" w:cs="Segoe UI"/>
          <w:sz w:val="18"/>
          <w:szCs w:val="18"/>
        </w:rPr>
        <w:t>Adhiniyam</w:t>
      </w:r>
      <w:proofErr w:type="spellEnd"/>
      <w:r w:rsidRPr="005F4300">
        <w:rPr>
          <w:rFonts w:ascii="Segoe UI" w:hAnsi="Segoe UI" w:cs="Segoe UI"/>
          <w:sz w:val="18"/>
          <w:szCs w:val="18"/>
        </w:rPr>
        <w:t>, 2023, which replaced the Indian Evidence Act of 1872, addresses electronic records under Section 63, but its provisions were drafted at a time when “electronic evidence” did not yet include predictive algorithms, facial recognition systems, or machine-generated forensic analysis. Courts will therefore need to evolve principled standards for assessing the reliability, authenticity, and probative value of AI-generated evidence — particularly in areas such as forensic AI, predictive policing, and biometric analysis, where documented error rates and demographic disparities continue to generate legitimate concern. An incorrect witness may be cross-examined; an incorrect algorithm presents a rather more elusive adversary. However, it would be imprudent to disregard the transformative benefits AI may offer in evidentiary administration. Properly regulated systems can accelerate document review, detect inconsistencies across vast evidentiary records, and assist courts in managing increasingly data-intensive litigation. The constitutional objective, therefore, is not technological paralysis but institutional prudence.</w:t>
      </w:r>
    </w:p>
    <w:p w14:paraId="6D0F460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 intersection of privacy law, evidence law, and Artificial Intelligence consequently demands more than piecemeal judicial improvisation. India requires a </w:t>
      </w:r>
      <w:proofErr w:type="spellStart"/>
      <w:r w:rsidRPr="005F4300">
        <w:rPr>
          <w:rFonts w:ascii="Segoe UI" w:hAnsi="Segoe UI" w:cs="Segoe UI"/>
          <w:sz w:val="18"/>
          <w:szCs w:val="18"/>
        </w:rPr>
        <w:t>specialised</w:t>
      </w:r>
      <w:proofErr w:type="spellEnd"/>
      <w:r w:rsidRPr="005F4300">
        <w:rPr>
          <w:rFonts w:ascii="Segoe UI" w:hAnsi="Segoe UI" w:cs="Segoe UI"/>
          <w:sz w:val="18"/>
          <w:szCs w:val="18"/>
        </w:rPr>
        <w:t xml:space="preserve"> legislative framework governing judicial data and AI-assisted evidentiary processes, including standards relating to data retention, access controls, independent audits, transparency obligations, and the admissibility of algorithmically generated findings. Constitutional democracies must ensure that while technology may assist in discovering facts, the ultimate protection of liberty remains anchored in accountable legal institutions rather than inscrutable systems operating behind digital curtains.</w:t>
      </w:r>
    </w:p>
    <w:p w14:paraId="7DFE751F" w14:textId="77777777" w:rsidR="005F4300" w:rsidRPr="005F4300" w:rsidRDefault="005F4300" w:rsidP="005F4300">
      <w:pPr>
        <w:spacing w:line="240" w:lineRule="auto"/>
        <w:jc w:val="both"/>
        <w:rPr>
          <w:rFonts w:ascii="Segoe UI" w:hAnsi="Segoe UI" w:cs="Segoe UI"/>
          <w:sz w:val="18"/>
          <w:szCs w:val="18"/>
        </w:rPr>
      </w:pPr>
      <w:r w:rsidRPr="005F4300">
        <w:rPr>
          <w:rFonts w:ascii="Segoe UI" w:hAnsi="Segoe UI" w:cs="Segoe UI"/>
          <w:b/>
          <w:sz w:val="18"/>
          <w:szCs w:val="18"/>
        </w:rPr>
        <w:t>IV. COMPARATIVE ANALYSIS: AI IN THE JUDICIARY ACROSS JURISDICTIONS</w:t>
      </w:r>
    </w:p>
    <w:p w14:paraId="25E02CC3"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 The United States: From COMPAS to Algorithmic Accountability</w:t>
      </w:r>
    </w:p>
    <w:p w14:paraId="2421EA1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United States offers perhaps the most extensive practical experience with AI-assisted judicial systems and, unsurprisingly, some of the most vigorous constitutional debates surrounding them. American courts have experimented with algorithmic tools in areas such as bail, sentencing, and recidivism assessment, motivated by the understandable desire to make legal processes faster, more consistent, and less vulnerable to purely subjective impulses — for human decision-making, though venerable, has never been entirely free from inconsistency itself.</w:t>
      </w:r>
    </w:p>
    <w:p w14:paraId="441F39F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Among the most widely discussed systems is COMPAS (Correctional Offender Management Profiling for Alternative Sanctions), used across several states to generate risk assessments for criminal defendants. The controversy surrounding COMPAS intensified following the 2016 ProPublica investigation, which identified significant racial disparities in the algorithm’s predictions. The resulting debate was not merely technological but deeply constitutional: whether a system affecting liberty could remain partially inscrutable to those subjected to it. In State v. Loomis, the Wisconsin Supreme Court ultimately permitted the use of COMPAS in sentencing, while simultaneously acknowledging the troubling reality that its proprietary structure prevented independent scrutiny of its methodology. In other words, courts were asked to place confidence in a system whose </w:t>
      </w:r>
      <w:r w:rsidRPr="005F4300">
        <w:rPr>
          <w:rFonts w:ascii="Segoe UI" w:hAnsi="Segoe UI" w:cs="Segoe UI"/>
          <w:sz w:val="18"/>
          <w:szCs w:val="18"/>
        </w:rPr>
        <w:lastRenderedPageBreak/>
        <w:t>reasoning could not be fully examined — a proposition lawyers traditionally reserve either for constitutional morality or very experienced senior counsel.</w:t>
      </w:r>
    </w:p>
    <w:p w14:paraId="7D00AED8"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Yet the American experience should not be viewed solely as a cautionary tale. It also illustrates an important institutional lesson: democracies are capable of responding to technological disruption through legal adaptation rather than outright rejection. The tensions generated by judicial AI have stimulated significant legislative engagement at both state and federal levels.</w:t>
      </w:r>
    </w:p>
    <w:p w14:paraId="1E40920D"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For instance, the Illinois Artificial Intelligence Video Interview Act introduced obligations relating to disclosure, explanation, and consent when AI systems are used to evaluate individuals. Similarly, California’s Automated Decision Systems Accountability Act proposed mandatory impact assessments for automated systems deployed by public agencies. At the federal level, the proposed Algorithmic Accountability Act sought to impose oversight requirements upon “high-risk automated decision systems,” including those operating within criminal justice contexts. These developments reflect an emerging recognition that AI systems exercising meaningful influence over human rights cannot remain beyond democratic supervision merely because their operations involve code rather than conventional bureaucracy.</w:t>
      </w:r>
    </w:p>
    <w:p w14:paraId="2E2FC0AF"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American experience therefore demonstrates two parallel truths. First, AI possesses undeniable utility in assisting judicial administration, reducing informational burdens, and improving procedural consistency. Secondly, technological sophistication does not exempt systems from constitutional accountability. Algorithmic governance, much like governmental power itself, requires transparency, reviewability, and institutional safeguards. As Louis Brandeis once warned, “Experience should teach us to be most on our guard to protect liberty when the Government’s purposes are beneficent.” The observation remains remarkably relevant in the age of Artificial Intelligence, where efficiency and constitutional caution must learn to coexist rather than compete.</w:t>
      </w:r>
    </w:p>
    <w:p w14:paraId="78FFC9BF"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B. The European Union: The AI Act and the High-Risk Framework</w:t>
      </w:r>
    </w:p>
    <w:p w14:paraId="07EB8BD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EU AI Act represents the world’s first comprehensive horizontal framework for AI regulation and offers a particularly instructive model for India’s emerging approach to judicial AI governance. Its central premise is both practical and constitutional: not all AI systems pose the same degree of risk, and therefore not all require identical levels of regulation — a proposition so sensible that lawyers may eventually claim they argued it from the beginning.</w:t>
      </w:r>
    </w:p>
    <w:p w14:paraId="7261714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Act adopts a risk-based classification model. AI systems used in the administration of justice and democratic processes are designated as “high-risk” under Annex III, thereby triggering stringent compliance obligations prior to deployment. These include conformity assessments, technical documentation and logging requirements, human oversight mechanisms, standards relating to accuracy and cybersecurity, and transparency obligations toward affected individuals. In parallel, Article 22 of the GDPR provides an additional safeguard by restricting solely automated decision-making that significantly affects individuals unless meaningful procedural protections exist.</w:t>
      </w:r>
    </w:p>
    <w:p w14:paraId="1F43A263"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Significantly, the EU framework also </w:t>
      </w:r>
      <w:proofErr w:type="spellStart"/>
      <w:r w:rsidRPr="005F4300">
        <w:rPr>
          <w:rFonts w:ascii="Segoe UI" w:hAnsi="Segoe UI" w:cs="Segoe UI"/>
          <w:sz w:val="18"/>
          <w:szCs w:val="18"/>
        </w:rPr>
        <w:t>recognises</w:t>
      </w:r>
      <w:proofErr w:type="spellEnd"/>
      <w:r w:rsidRPr="005F4300">
        <w:rPr>
          <w:rFonts w:ascii="Segoe UI" w:hAnsi="Segoe UI" w:cs="Segoe UI"/>
          <w:sz w:val="18"/>
          <w:szCs w:val="18"/>
        </w:rPr>
        <w:t xml:space="preserve"> that certain applications of AI are incompatible with democratic constitutional values regardless of efficiency gains. Accordingly, the Act prohibits specific categories of AI outright, including real-time remote biometric identification in publicly accessible spaces (subject to narrow exceptions), social scoring systems operated by public authorities, and AI systems designed to exploit vulnerable groups. These prohibitions reflect a distinctly values-oriented approach to regulation — one that acknowledges that technological capability alone cannot determine constitutional legitimacy.</w:t>
      </w:r>
    </w:p>
    <w:p w14:paraId="00B97188"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This aspect of the European framework is particularly relevant in the Indian context, where concerns surrounding biometric surveillance and data concentration have already generated substantial constitutional debate. A democracy committed to dignity and liberty cannot evaluate AI systems solely by asking whether they function efficiently; it must also ask whether they function compatibly with constitutional morality.</w:t>
      </w:r>
    </w:p>
    <w:p w14:paraId="65451F68"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 European model is not without limitations. Its risk-classification structure remains largely product-focused rather than context-sensitive, and its phased implementation timelines may struggle to keep pace with rapidly evolving AI technologies. Nevertheless, its foundational architecture — </w:t>
      </w:r>
      <w:proofErr w:type="spellStart"/>
      <w:r w:rsidRPr="005F4300">
        <w:rPr>
          <w:rFonts w:ascii="Segoe UI" w:hAnsi="Segoe UI" w:cs="Segoe UI"/>
          <w:sz w:val="18"/>
          <w:szCs w:val="18"/>
        </w:rPr>
        <w:t>centred</w:t>
      </w:r>
      <w:proofErr w:type="spellEnd"/>
      <w:r w:rsidRPr="005F4300">
        <w:rPr>
          <w:rFonts w:ascii="Segoe UI" w:hAnsi="Segoe UI" w:cs="Segoe UI"/>
          <w:sz w:val="18"/>
          <w:szCs w:val="18"/>
        </w:rPr>
        <w:t xml:space="preserve"> upon risk classification, mandatory oversight, transparency obligations, and categorical prohibitions for the most dangerous applications — offers a coherent and principled template for Indian regulatory design.</w:t>
      </w:r>
    </w:p>
    <w:p w14:paraId="27D2D10B" w14:textId="77777777" w:rsidR="005F4300" w:rsidRPr="005F4300" w:rsidRDefault="005F4300" w:rsidP="005F4300">
      <w:pPr>
        <w:spacing w:line="240" w:lineRule="auto"/>
        <w:jc w:val="both"/>
        <w:rPr>
          <w:rFonts w:ascii="Segoe UI" w:hAnsi="Segoe UI" w:cs="Segoe UI"/>
          <w:sz w:val="18"/>
          <w:szCs w:val="18"/>
        </w:rPr>
      </w:pPr>
      <w:r w:rsidRPr="005F4300">
        <w:rPr>
          <w:rFonts w:ascii="Segoe UI" w:hAnsi="Segoe UI" w:cs="Segoe UI"/>
          <w:b/>
          <w:sz w:val="18"/>
          <w:szCs w:val="18"/>
        </w:rPr>
        <w:t>V. PROPOSED REGULATORY FRAMEWORK FOR AI IN THE INDIAN JUDICIARY</w:t>
      </w:r>
    </w:p>
    <w:p w14:paraId="5DAA6664"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A. Foundational Principles</w:t>
      </w:r>
    </w:p>
    <w:p w14:paraId="6D26EA89"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Any regulatory framework governing Artificial Intelligence in the Indian judiciary must rest not merely upon technological convenience, but upon constitutional discipline. Courts may </w:t>
      </w:r>
      <w:proofErr w:type="spellStart"/>
      <w:r w:rsidRPr="005F4300">
        <w:rPr>
          <w:rFonts w:ascii="Segoe UI" w:hAnsi="Segoe UI" w:cs="Segoe UI"/>
          <w:sz w:val="18"/>
          <w:szCs w:val="18"/>
        </w:rPr>
        <w:t>modernise</w:t>
      </w:r>
      <w:proofErr w:type="spellEnd"/>
      <w:r w:rsidRPr="005F4300">
        <w:rPr>
          <w:rFonts w:ascii="Segoe UI" w:hAnsi="Segoe UI" w:cs="Segoe UI"/>
          <w:sz w:val="18"/>
          <w:szCs w:val="18"/>
        </w:rPr>
        <w:t xml:space="preserve"> their methods, but they cannot </w:t>
      </w:r>
      <w:proofErr w:type="spellStart"/>
      <w:r w:rsidRPr="005F4300">
        <w:rPr>
          <w:rFonts w:ascii="Segoe UI" w:hAnsi="Segoe UI" w:cs="Segoe UI"/>
          <w:sz w:val="18"/>
          <w:szCs w:val="18"/>
        </w:rPr>
        <w:t>modernise</w:t>
      </w:r>
      <w:proofErr w:type="spellEnd"/>
      <w:r w:rsidRPr="005F4300">
        <w:rPr>
          <w:rFonts w:ascii="Segoe UI" w:hAnsi="Segoe UI" w:cs="Segoe UI"/>
          <w:sz w:val="18"/>
          <w:szCs w:val="18"/>
        </w:rPr>
        <w:t xml:space="preserve"> away their constitutional obligations. The proposed framework therefore rests upon five foundational principles derived from constitutional jurisprudence, comparative regulatory practice, and the enduring requirements of judicial legitimacy.</w:t>
      </w:r>
    </w:p>
    <w:p w14:paraId="09006C4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lastRenderedPageBreak/>
        <w:t>First is the principle of Judicial Sovereignty. AI must remain an instrument assisting judicial reasoning rather than replacing it. Final authority in every judicial proceeding must continue to rest with a human judge who bears both institutional and moral responsibility for the outcome. Algorithms may process information with astonishing speed; accountability, however, still requires a human signature at the end of the order.</w:t>
      </w:r>
    </w:p>
    <w:p w14:paraId="70479A6A"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Secondly, the principle of Transparency. Litigants must be informed whenever AI tools have been </w:t>
      </w:r>
      <w:proofErr w:type="spellStart"/>
      <w:r w:rsidRPr="005F4300">
        <w:rPr>
          <w:rFonts w:ascii="Segoe UI" w:hAnsi="Segoe UI" w:cs="Segoe UI"/>
          <w:sz w:val="18"/>
          <w:szCs w:val="18"/>
        </w:rPr>
        <w:t>utilised</w:t>
      </w:r>
      <w:proofErr w:type="spellEnd"/>
      <w:r w:rsidRPr="005F4300">
        <w:rPr>
          <w:rFonts w:ascii="Segoe UI" w:hAnsi="Segoe UI" w:cs="Segoe UI"/>
          <w:sz w:val="18"/>
          <w:szCs w:val="18"/>
        </w:rPr>
        <w:t xml:space="preserve"> in any aspect of adjudication. The nature of the system employed, the categories of data processed, and the output generated should be disclosed in intelligible terms to affected parties. Justice cannot meaningfully remain open if part of the decision-making process operates behind a digital curtain accessible only to software developers and particularly patient engineers.</w:t>
      </w:r>
    </w:p>
    <w:p w14:paraId="05FBC98D"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Thirdly, the principle of Non-Discrimination. Judicial AI systems must be designed, tested, and continuously monitored to ensure that they do not produce disproportionate adverse effects on the basis of caste, religion, gender, sexual orientation, economic status, or other protected characteristics. Constitutional equality cannot become optional merely because prejudice has acquired computational efficiency.</w:t>
      </w:r>
    </w:p>
    <w:p w14:paraId="276FCF36"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Fourthly, the principle of Contestability. Every AI-assisted recommendation or output relied upon in judicial proceedings must remain open to challenge before a human decision-maker empowered to independently evaluate its validity. A litigant confronted with an algorithmic conclusion must retain the right to question both the reasoning and the reliability underlying it. After all, the essence of adjudication lies not in passive acceptance, but in reasoned contest.</w:t>
      </w:r>
    </w:p>
    <w:p w14:paraId="076D0BCF"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Finally, the principle of Proportionality. Regulatory intensity must correspond to the level of risk posed by the specific AI application. Passive legal research tools require lighter oversight than predictive systems operating within criminal sentencing, bail, family law, or other domains directly affecting liberty and dignity. Constitutional law has long </w:t>
      </w:r>
      <w:proofErr w:type="spellStart"/>
      <w:r w:rsidRPr="005F4300">
        <w:rPr>
          <w:rFonts w:ascii="Segoe UI" w:hAnsi="Segoe UI" w:cs="Segoe UI"/>
          <w:sz w:val="18"/>
          <w:szCs w:val="18"/>
        </w:rPr>
        <w:t>recognised</w:t>
      </w:r>
      <w:proofErr w:type="spellEnd"/>
      <w:r w:rsidRPr="005F4300">
        <w:rPr>
          <w:rFonts w:ascii="Segoe UI" w:hAnsi="Segoe UI" w:cs="Segoe UI"/>
          <w:sz w:val="18"/>
          <w:szCs w:val="18"/>
        </w:rPr>
        <w:t xml:space="preserve"> that greater power demands greater restraint; the same principle applies with equal force to intelligent systems operating within courts.</w:t>
      </w:r>
    </w:p>
    <w:p w14:paraId="7D6AB8B8"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Together, these principles seek to ensure that AI strengthens judicial administration without diminishing constitutional values. The objective is neither technological romanticism nor reflexive suspicion, but a balanced framework in which innovation serves justice while remaining firmly subordinate to it.</w:t>
      </w:r>
    </w:p>
    <w:p w14:paraId="023D77B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B. A Tiered Classification System</w:t>
      </w:r>
    </w:p>
    <w:p w14:paraId="0B26472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Drawing upon the risk-based architecture of the EU AI Act, while adapting it to India’s constitutional realities, the proposed framework envisions a three-tier classification system for judicial AI. The objective is both pragmatic and principled: not every algorithm presents the same constitutional risk, and regulation ought not to treat a translation tool and a sentencing recommendation engine as equally consequential merely because both possess fashionable acronyms.</w:t>
      </w:r>
    </w:p>
    <w:p w14:paraId="56855CD2"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Tier I — Permitted AI (Minimal Regulation) – This tier includes passive and administrative systems that do not directly influence adjudicative outcomes. These encompass AI-powered legal research platforms, scheduling systems, automated cause-list generation, translation tools, and document management software. Such applications primarily enhance institutional efficiency and reduce administrative burdens that have historically consumed disproportionate judicial time and energy. Their regulatory obligations should therefore remain relatively light, limited chiefly to compliance with data protection standards and periodic technical audits. A court clerk assisted by intelligent software is still, constitutionally speaking, considerably less alarming than a software program attempting to behave like a constitutional court.</w:t>
      </w:r>
    </w:p>
    <w:p w14:paraId="5546BC18"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Tier II — Regulated AI (Enhanced Oversight) – This tier covers AI systems that actively assist judges in decision-making processes without replacing judicial discretion itself. This category includes case outcome prediction tools, document </w:t>
      </w:r>
      <w:proofErr w:type="spellStart"/>
      <w:r w:rsidRPr="005F4300">
        <w:rPr>
          <w:rFonts w:ascii="Segoe UI" w:hAnsi="Segoe UI" w:cs="Segoe UI"/>
          <w:sz w:val="18"/>
          <w:szCs w:val="18"/>
        </w:rPr>
        <w:t>summarisation</w:t>
      </w:r>
      <w:proofErr w:type="spellEnd"/>
      <w:r w:rsidRPr="005F4300">
        <w:rPr>
          <w:rFonts w:ascii="Segoe UI" w:hAnsi="Segoe UI" w:cs="Segoe UI"/>
          <w:sz w:val="18"/>
          <w:szCs w:val="18"/>
        </w:rPr>
        <w:t xml:space="preserve"> systems, evidence </w:t>
      </w:r>
      <w:proofErr w:type="spellStart"/>
      <w:r w:rsidRPr="005F4300">
        <w:rPr>
          <w:rFonts w:ascii="Segoe UI" w:hAnsi="Segoe UI" w:cs="Segoe UI"/>
          <w:sz w:val="18"/>
          <w:szCs w:val="18"/>
        </w:rPr>
        <w:t>organisation</w:t>
      </w:r>
      <w:proofErr w:type="spellEnd"/>
      <w:r w:rsidRPr="005F4300">
        <w:rPr>
          <w:rFonts w:ascii="Segoe UI" w:hAnsi="Segoe UI" w:cs="Segoe UI"/>
          <w:sz w:val="18"/>
          <w:szCs w:val="18"/>
        </w:rPr>
        <w:t xml:space="preserve"> platforms, and other decision-support technologies. These tools possess significant utility in reducing informational overload within heavily burdened judicial systems, particularly in jurisdictions such as India where case volumes frequently exceed institutional capacity. However, because they may influence adjudicative reasoning, they must operate under enhanced safeguards. Accordingly, Tier II systems should be subject to mandatory pre-deployment conformity assessments conducted by independent technical bodies, disclosure obligations toward litigants, human oversight requirements, and recurring bias audits. The SUPACE initiative of the Supreme Court of India, in its present form, would appropriately fall within this category — serving as an intelligent assistant rather than an electronic oracle.</w:t>
      </w:r>
    </w:p>
    <w:p w14:paraId="15AAD125"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Tier III — Prohibited AI encompasses applications fundamentally incompatible with constitutional guarantees and the basic structure of judicial accountability. This includes autonomous or semi-autonomous sentencing and bail systems operating without meaningful human deliberation, AI tools employing protected characteristics such as caste, religion, or gender as predictive variables, and real-time biometric identification systems used within judicial proceedings absent informed consent and independent judicial </w:t>
      </w:r>
      <w:proofErr w:type="spellStart"/>
      <w:r w:rsidRPr="005F4300">
        <w:rPr>
          <w:rFonts w:ascii="Segoe UI" w:hAnsi="Segoe UI" w:cs="Segoe UI"/>
          <w:sz w:val="18"/>
          <w:szCs w:val="18"/>
        </w:rPr>
        <w:t>authorisation</w:t>
      </w:r>
      <w:proofErr w:type="spellEnd"/>
      <w:r w:rsidRPr="005F4300">
        <w:rPr>
          <w:rFonts w:ascii="Segoe UI" w:hAnsi="Segoe UI" w:cs="Segoe UI"/>
          <w:sz w:val="18"/>
          <w:szCs w:val="18"/>
        </w:rPr>
        <w:t>. Certain technologies, regardless of efficiency gains, cross constitutional boundaries that democracies cannot afford to negotiate casually. As constitutional history repeatedly demonstrates, expediency is often most dangerous when it appears most efficient.</w:t>
      </w:r>
    </w:p>
    <w:p w14:paraId="5526258C"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lastRenderedPageBreak/>
        <w:t xml:space="preserve">This tiered framework seeks to ensure that India benefits from the transformative potential of AI while preserving the constitutional values that </w:t>
      </w:r>
      <w:proofErr w:type="spellStart"/>
      <w:r w:rsidRPr="005F4300">
        <w:rPr>
          <w:rFonts w:ascii="Segoe UI" w:hAnsi="Segoe UI" w:cs="Segoe UI"/>
          <w:sz w:val="18"/>
          <w:szCs w:val="18"/>
        </w:rPr>
        <w:t>legitimise</w:t>
      </w:r>
      <w:proofErr w:type="spellEnd"/>
      <w:r w:rsidRPr="005F4300">
        <w:rPr>
          <w:rFonts w:ascii="Segoe UI" w:hAnsi="Segoe UI" w:cs="Segoe UI"/>
          <w:sz w:val="18"/>
          <w:szCs w:val="18"/>
        </w:rPr>
        <w:t xml:space="preserve"> judicial power itself. The challenge is not whether courts should use technology — they inevitably will — but whether technological advancement can remain subordinate to constitutional morality rather than quietly overtaking it.</w:t>
      </w:r>
    </w:p>
    <w:p w14:paraId="337B5309"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C. Institutional Architecture</w:t>
      </w:r>
    </w:p>
    <w:p w14:paraId="1D2D5EA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No regulatory framework can succeed without a credible institutional mechanism to enforce it. Accordingly, this paper proposes the creation of a Judicial AI Oversight Authority (JAOA) through an Act of Parliament. The JAOA would function as the central regulatory body supervising the use of AI within the Indian judiciary.</w:t>
      </w:r>
    </w:p>
    <w:p w14:paraId="70960DF4"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Its functions would include:</w:t>
      </w:r>
    </w:p>
    <w:p w14:paraId="47A23430"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w:t>
      </w:r>
      <w:proofErr w:type="spellStart"/>
      <w:r w:rsidRPr="005F4300">
        <w:rPr>
          <w:rFonts w:ascii="Segoe UI" w:hAnsi="Segoe UI" w:cs="Segoe UI"/>
          <w:sz w:val="18"/>
          <w:szCs w:val="18"/>
        </w:rPr>
        <w:t>i</w:t>
      </w:r>
      <w:proofErr w:type="spellEnd"/>
      <w:r w:rsidRPr="005F4300">
        <w:rPr>
          <w:rFonts w:ascii="Segoe UI" w:hAnsi="Segoe UI" w:cs="Segoe UI"/>
          <w:sz w:val="18"/>
          <w:szCs w:val="18"/>
        </w:rPr>
        <w:t>) certification and de-certification of AI tools used in courts;</w:t>
      </w:r>
    </w:p>
    <w:p w14:paraId="34B8FAAB"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(ii) maintaining a public registry of deployed judicial AI systems;</w:t>
      </w:r>
    </w:p>
    <w:p w14:paraId="377534CF"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(iii) receiving complaints from litigants alleging harm caused by AI-assisted processes;</w:t>
      </w:r>
    </w:p>
    <w:p w14:paraId="2677B601"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(iv) conducting periodic bias and compliance audits; and</w:t>
      </w:r>
    </w:p>
    <w:p w14:paraId="598DFEC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(v) publishing annual reports on the state of judicial AI in India.</w:t>
      </w:r>
    </w:p>
    <w:p w14:paraId="377518C0"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Authority should include members from the judiciary, legal profession, AI research, civil society, and data protection fields. Judicial AI is not merely a technical issue; it is equally constitutional and ethical.</w:t>
      </w:r>
    </w:p>
    <w:p w14:paraId="22435784"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Equally important is institutional independence. The JAOA must remain insulated from executive influence while remaining accountable to Parliament through regular reporting mechanisms. Constitutional legitimacy requires both independence and oversight — particularly when algorithms begin entering spaces traditionally governed by human judgment.</w:t>
      </w:r>
    </w:p>
    <w:p w14:paraId="0C812DA9"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purpose of the JAOA is not to obstruct innovation, but to ensure that technological progress operates within constitutional boundaries. Even efficient algorithms, much like public institutions, benefit from supervision.</w:t>
      </w:r>
    </w:p>
    <w:p w14:paraId="52C1638A"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D. Legislative Amendments</w:t>
      </w:r>
    </w:p>
    <w:p w14:paraId="60149958"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proposed framework requires legislative reform on three fronts.</w:t>
      </w:r>
    </w:p>
    <w:p w14:paraId="114BBA9C"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First, the </w:t>
      </w:r>
      <w:proofErr w:type="spellStart"/>
      <w:r w:rsidRPr="005F4300">
        <w:rPr>
          <w:rFonts w:ascii="Segoe UI" w:hAnsi="Segoe UI" w:cs="Segoe UI"/>
          <w:sz w:val="18"/>
          <w:szCs w:val="18"/>
        </w:rPr>
        <w:t>Bharatiya</w:t>
      </w:r>
      <w:proofErr w:type="spellEnd"/>
      <w:r w:rsidRPr="005F4300">
        <w:rPr>
          <w:rFonts w:ascii="Segoe UI" w:hAnsi="Segoe UI" w:cs="Segoe UI"/>
          <w:sz w:val="18"/>
          <w:szCs w:val="18"/>
        </w:rPr>
        <w:t xml:space="preserve"> </w:t>
      </w:r>
      <w:proofErr w:type="spellStart"/>
      <w:r w:rsidRPr="005F4300">
        <w:rPr>
          <w:rFonts w:ascii="Segoe UI" w:hAnsi="Segoe UI" w:cs="Segoe UI"/>
          <w:sz w:val="18"/>
          <w:szCs w:val="18"/>
        </w:rPr>
        <w:t>Sakshya</w:t>
      </w:r>
      <w:proofErr w:type="spellEnd"/>
      <w:r w:rsidRPr="005F4300">
        <w:rPr>
          <w:rFonts w:ascii="Segoe UI" w:hAnsi="Segoe UI" w:cs="Segoe UI"/>
          <w:sz w:val="18"/>
          <w:szCs w:val="18"/>
        </w:rPr>
        <w:t xml:space="preserve"> </w:t>
      </w:r>
      <w:proofErr w:type="spellStart"/>
      <w:r w:rsidRPr="005F4300">
        <w:rPr>
          <w:rFonts w:ascii="Segoe UI" w:hAnsi="Segoe UI" w:cs="Segoe UI"/>
          <w:sz w:val="18"/>
          <w:szCs w:val="18"/>
        </w:rPr>
        <w:t>Adhiniyam</w:t>
      </w:r>
      <w:proofErr w:type="spellEnd"/>
      <w:r w:rsidRPr="005F4300">
        <w:rPr>
          <w:rFonts w:ascii="Segoe UI" w:hAnsi="Segoe UI" w:cs="Segoe UI"/>
          <w:sz w:val="18"/>
          <w:szCs w:val="18"/>
        </w:rPr>
        <w:t>, 2023 must be amended to establish clear standards for the admissibility of AI-generated evidence, including requirements relating to technical validation, disclosure of training data sources, and expert testimony on algorithmic reliability. Courts cannot meaningfully evaluate evidence produced by systems they are not permitted to understand.</w:t>
      </w:r>
    </w:p>
    <w:p w14:paraId="2142ACE5"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Secondly, the Digital Personal Data Protection Act, 2023 should be amended to narrow the scope of state exemptions and mandate privacy impact assessments for judicial data processing. Constitutional privacy cannot become collateral damage in the pursuit of administrative efficiency.</w:t>
      </w:r>
    </w:p>
    <w:p w14:paraId="15EF85D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Finally, Parliament should enact a dedicated Judicial AI Governance Act establishing the Judicial AI Oversight Authority (JAOA), the proposed tiered classification framework, and procedural rights for litigants in AI-assisted proceedings. Technological change may be inevitable; constitutional regulation of that change cannot remain optional.</w:t>
      </w:r>
    </w:p>
    <w:p w14:paraId="20EE48DF" w14:textId="77777777" w:rsidR="005F4300" w:rsidRPr="005F4300" w:rsidRDefault="005F4300" w:rsidP="005F4300">
      <w:pPr>
        <w:spacing w:line="240" w:lineRule="auto"/>
        <w:jc w:val="both"/>
        <w:rPr>
          <w:rFonts w:ascii="Segoe UI" w:hAnsi="Segoe UI" w:cs="Segoe UI"/>
          <w:sz w:val="18"/>
          <w:szCs w:val="18"/>
        </w:rPr>
      </w:pPr>
      <w:r w:rsidRPr="005F4300">
        <w:rPr>
          <w:rFonts w:ascii="Segoe UI" w:hAnsi="Segoe UI" w:cs="Segoe UI"/>
          <w:b/>
          <w:sz w:val="18"/>
          <w:szCs w:val="18"/>
        </w:rPr>
        <w:t>VI. CONCLUSION</w:t>
      </w:r>
    </w:p>
    <w:p w14:paraId="706E5C9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The integration of Artificial Intelligence into the Indian judiciary is no longer a speculative possibility, but an institutional inevitability. Faced with a backlog exceeding 50 million cases, increasing procedural complexity, and the demonstrated ability of AI tools to accelerate research and administration, Indian courts cannot realistically remain untouched by technological transformation. The real constitutional question is not whether AI will enter the judiciary, but on what terms it will be permitted to remain there.</w:t>
      </w:r>
    </w:p>
    <w:p w14:paraId="54E2F4EE"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This paper has argued that those terms must ultimately be determined by the Constitution. The guarantees of equality under Articles 14 and 15, the due process protections of Article 21, the principles of accountability embedded within the separation of powers, and the privacy rights affirmed in Justice K. S. </w:t>
      </w:r>
      <w:proofErr w:type="spellStart"/>
      <w:r w:rsidRPr="005F4300">
        <w:rPr>
          <w:rFonts w:ascii="Segoe UI" w:hAnsi="Segoe UI" w:cs="Segoe UI"/>
          <w:sz w:val="18"/>
          <w:szCs w:val="18"/>
        </w:rPr>
        <w:t>Puttaswamy</w:t>
      </w:r>
      <w:proofErr w:type="spellEnd"/>
      <w:r w:rsidRPr="005F4300">
        <w:rPr>
          <w:rFonts w:ascii="Segoe UI" w:hAnsi="Segoe UI" w:cs="Segoe UI"/>
          <w:sz w:val="18"/>
          <w:szCs w:val="18"/>
        </w:rPr>
        <w:t xml:space="preserve"> (Retd.) v. Union of India together create a constitutional framework within which judicial AI must function. That framework permits AI as an aid to adjudication; it does not permit the replacement of judicial conscience with computational convenience.</w:t>
      </w:r>
    </w:p>
    <w:p w14:paraId="21DB33D7"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 xml:space="preserve">The comparative experiences of the United States and the European Union further demonstrate that the absence of proactive regulation inevitably results in retrospective constitutional damage control. Bias, once embedded into automated systems, scales </w:t>
      </w:r>
      <w:r w:rsidRPr="005F4300">
        <w:rPr>
          <w:rFonts w:ascii="Segoe UI" w:hAnsi="Segoe UI" w:cs="Segoe UI"/>
          <w:sz w:val="18"/>
          <w:szCs w:val="18"/>
        </w:rPr>
        <w:lastRenderedPageBreak/>
        <w:t>with unsettling efficiency. And opacity, when introduced into judicial processes, has an unfortunate tendency to erode public trust faster than institutions can restore it.</w:t>
      </w:r>
    </w:p>
    <w:p w14:paraId="71608FBA"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India therefore possesses both an opportunity and a constitutional obligation to develop a principled model of judicial AI governance. The framework proposed in this paper — grounded in judicial sovereignty, transparency, non-discrimination, contestability, and proportionality — seeks to reconcile technological innovation with constitutional discipline. Its objective is not to resist AI, but to ensure that intelligence, however artificial, remains subject to values that are fundamentally human.</w:t>
      </w:r>
    </w:p>
    <w:p w14:paraId="2076BD7F" w14:textId="77777777" w:rsidR="005F4300" w:rsidRPr="005F4300" w:rsidRDefault="005F4300" w:rsidP="005F4300">
      <w:pPr>
        <w:spacing w:after="120" w:line="240" w:lineRule="auto"/>
        <w:jc w:val="both"/>
        <w:rPr>
          <w:rFonts w:ascii="Segoe UI" w:hAnsi="Segoe UI" w:cs="Segoe UI"/>
          <w:sz w:val="18"/>
          <w:szCs w:val="18"/>
        </w:rPr>
      </w:pPr>
      <w:r w:rsidRPr="005F4300">
        <w:rPr>
          <w:rFonts w:ascii="Segoe UI" w:hAnsi="Segoe UI" w:cs="Segoe UI"/>
          <w:sz w:val="18"/>
          <w:szCs w:val="18"/>
        </w:rPr>
        <w:t>Future research must examine issues such as bias-audit design within India’s socio-demographic realities, procedural safeguards for contesting AI-assisted decisions, the use of AI in alternative dispute resolution, and the growing implications of large language models capable of generating draft judgments with alarming fluency. These are not distant theoretical concerns. They are likely to become defining constitutional questions for the next generation of Indian jurisprudence — a reminder that while technology evolves rapidly, the responsibility of the law remains what it has always been: to ensure that progress does not outrun justice.</w:t>
      </w:r>
    </w:p>
    <w:p w14:paraId="150B689F" w14:textId="77777777" w:rsidR="005F4300" w:rsidRPr="00AD6D02" w:rsidRDefault="005F4300" w:rsidP="005F4300">
      <w:pPr>
        <w:pStyle w:val="NoSpacing"/>
        <w:rPr>
          <w:rFonts w:cstheme="minorHAnsi"/>
          <w:sz w:val="20"/>
          <w:szCs w:val="20"/>
        </w:rPr>
      </w:pPr>
      <w:bookmarkStart w:id="0" w:name="_Hlk220495816"/>
      <w:proofErr w:type="spellStart"/>
      <w:proofErr w:type="gramStart"/>
      <w:r w:rsidRPr="00AD6D02">
        <w:rPr>
          <w:rFonts w:cstheme="minorHAnsi"/>
          <w:b/>
          <w:bCs/>
          <w:sz w:val="20"/>
          <w:szCs w:val="20"/>
        </w:rPr>
        <w:t>Funding</w:t>
      </w:r>
      <w:proofErr w:type="spellEnd"/>
      <w:r w:rsidRPr="00AD6D02">
        <w:rPr>
          <w:rFonts w:cstheme="minorHAnsi"/>
          <w:b/>
          <w:bCs/>
          <w:sz w:val="20"/>
          <w:szCs w:val="20"/>
        </w:rPr>
        <w:t>:</w:t>
      </w:r>
      <w:proofErr w:type="gramEnd"/>
      <w:r w:rsidRPr="00AD6D02">
        <w:rPr>
          <w:rFonts w:cstheme="minorHAnsi"/>
          <w:sz w:val="20"/>
          <w:szCs w:val="20"/>
        </w:rPr>
        <w:t xml:space="preserve"> This </w:t>
      </w:r>
      <w:proofErr w:type="spellStart"/>
      <w:r w:rsidRPr="00AD6D02">
        <w:rPr>
          <w:rFonts w:cstheme="minorHAnsi"/>
          <w:sz w:val="20"/>
          <w:szCs w:val="20"/>
        </w:rPr>
        <w:t>research</w:t>
      </w:r>
      <w:proofErr w:type="spellEnd"/>
      <w:r w:rsidRPr="00AD6D02">
        <w:rPr>
          <w:rFonts w:cstheme="minorHAnsi"/>
          <w:sz w:val="20"/>
          <w:szCs w:val="20"/>
        </w:rPr>
        <w:t xml:space="preserve"> </w:t>
      </w:r>
      <w:proofErr w:type="spellStart"/>
      <w:r w:rsidRPr="00AD6D02">
        <w:rPr>
          <w:rFonts w:cstheme="minorHAnsi"/>
          <w:sz w:val="20"/>
          <w:szCs w:val="20"/>
        </w:rPr>
        <w:t>received</w:t>
      </w:r>
      <w:proofErr w:type="spellEnd"/>
      <w:r w:rsidRPr="00AD6D02">
        <w:rPr>
          <w:rFonts w:cstheme="minorHAnsi"/>
          <w:sz w:val="20"/>
          <w:szCs w:val="20"/>
        </w:rPr>
        <w:t xml:space="preserve"> no </w:t>
      </w:r>
      <w:proofErr w:type="spellStart"/>
      <w:r w:rsidRPr="00AD6D02">
        <w:rPr>
          <w:rFonts w:cstheme="minorHAnsi"/>
          <w:sz w:val="20"/>
          <w:szCs w:val="20"/>
        </w:rPr>
        <w:t>external</w:t>
      </w:r>
      <w:proofErr w:type="spellEnd"/>
      <w:r w:rsidRPr="00AD6D02">
        <w:rPr>
          <w:rFonts w:cstheme="minorHAnsi"/>
          <w:sz w:val="20"/>
          <w:szCs w:val="20"/>
        </w:rPr>
        <w:t xml:space="preserve"> </w:t>
      </w:r>
      <w:proofErr w:type="spellStart"/>
      <w:r w:rsidRPr="00AD6D02">
        <w:rPr>
          <w:rFonts w:cstheme="minorHAnsi"/>
          <w:sz w:val="20"/>
          <w:szCs w:val="20"/>
        </w:rPr>
        <w:t>funding</w:t>
      </w:r>
      <w:proofErr w:type="spellEnd"/>
      <w:r>
        <w:rPr>
          <w:rFonts w:cstheme="minorHAnsi"/>
          <w:sz w:val="20"/>
          <w:szCs w:val="20"/>
        </w:rPr>
        <w:t>.</w:t>
      </w:r>
      <w:r w:rsidRPr="00AD6D02">
        <w:rPr>
          <w:rFonts w:cstheme="minorHAnsi"/>
          <w:sz w:val="20"/>
          <w:szCs w:val="20"/>
        </w:rPr>
        <w:t xml:space="preserve"> </w:t>
      </w:r>
    </w:p>
    <w:p w14:paraId="71B947E4" w14:textId="77777777" w:rsidR="005F4300" w:rsidRDefault="005F4300" w:rsidP="005F4300">
      <w:pPr>
        <w:pStyle w:val="NoSpacing"/>
        <w:rPr>
          <w:rFonts w:cstheme="minorHAnsi"/>
          <w:sz w:val="20"/>
          <w:szCs w:val="20"/>
        </w:rPr>
      </w:pPr>
      <w:bookmarkStart w:id="1" w:name="_Hlk192415061"/>
      <w:proofErr w:type="spellStart"/>
      <w:r w:rsidRPr="00AD6D02">
        <w:rPr>
          <w:rFonts w:cstheme="minorHAnsi"/>
          <w:b/>
          <w:bCs/>
          <w:sz w:val="20"/>
          <w:szCs w:val="20"/>
        </w:rPr>
        <w:t>Conflicts</w:t>
      </w:r>
      <w:proofErr w:type="spellEnd"/>
      <w:r w:rsidRPr="00AD6D02">
        <w:rPr>
          <w:rFonts w:cstheme="minorHAnsi"/>
          <w:b/>
          <w:bCs/>
          <w:sz w:val="20"/>
          <w:szCs w:val="20"/>
        </w:rPr>
        <w:t xml:space="preserve"> of </w:t>
      </w:r>
      <w:proofErr w:type="spellStart"/>
      <w:proofErr w:type="gramStart"/>
      <w:r w:rsidRPr="00AD6D02">
        <w:rPr>
          <w:rFonts w:cstheme="minorHAnsi"/>
          <w:b/>
          <w:bCs/>
          <w:sz w:val="20"/>
          <w:szCs w:val="20"/>
        </w:rPr>
        <w:t>Interest</w:t>
      </w:r>
      <w:proofErr w:type="spellEnd"/>
      <w:r w:rsidRPr="00AD6D02">
        <w:rPr>
          <w:rFonts w:cstheme="minorHAnsi"/>
          <w:b/>
          <w:bCs/>
          <w:sz w:val="20"/>
          <w:szCs w:val="20"/>
        </w:rPr>
        <w:t>:</w:t>
      </w:r>
      <w:proofErr w:type="gramEnd"/>
      <w:r w:rsidRPr="00AD6D02">
        <w:rPr>
          <w:rFonts w:cstheme="minorHAnsi"/>
          <w:sz w:val="20"/>
          <w:szCs w:val="20"/>
        </w:rPr>
        <w:t xml:space="preserve"> The </w:t>
      </w:r>
      <w:proofErr w:type="spellStart"/>
      <w:r w:rsidRPr="00AD6D02">
        <w:rPr>
          <w:rFonts w:cstheme="minorHAnsi"/>
          <w:sz w:val="20"/>
          <w:szCs w:val="20"/>
        </w:rPr>
        <w:t>authors</w:t>
      </w:r>
      <w:proofErr w:type="spellEnd"/>
      <w:r w:rsidRPr="00AD6D02">
        <w:rPr>
          <w:rFonts w:cstheme="minorHAnsi"/>
          <w:sz w:val="20"/>
          <w:szCs w:val="20"/>
        </w:rPr>
        <w:t xml:space="preserve"> </w:t>
      </w:r>
      <w:proofErr w:type="spellStart"/>
      <w:r w:rsidRPr="00AD6D02">
        <w:rPr>
          <w:rFonts w:cstheme="minorHAnsi"/>
          <w:sz w:val="20"/>
          <w:szCs w:val="20"/>
        </w:rPr>
        <w:t>declare</w:t>
      </w:r>
      <w:proofErr w:type="spellEnd"/>
      <w:r w:rsidRPr="00AD6D02">
        <w:rPr>
          <w:rFonts w:cstheme="minorHAnsi"/>
          <w:sz w:val="20"/>
          <w:szCs w:val="20"/>
        </w:rPr>
        <w:t xml:space="preserve"> no </w:t>
      </w:r>
      <w:proofErr w:type="spellStart"/>
      <w:r w:rsidRPr="00AD6D02">
        <w:rPr>
          <w:rFonts w:cstheme="minorHAnsi"/>
          <w:sz w:val="20"/>
          <w:szCs w:val="20"/>
        </w:rPr>
        <w:t>conflict</w:t>
      </w:r>
      <w:proofErr w:type="spellEnd"/>
      <w:r w:rsidRPr="00AD6D02">
        <w:rPr>
          <w:rFonts w:cstheme="minorHAnsi"/>
          <w:sz w:val="20"/>
          <w:szCs w:val="20"/>
        </w:rPr>
        <w:t xml:space="preserve"> of </w:t>
      </w:r>
      <w:proofErr w:type="spellStart"/>
      <w:r w:rsidRPr="00AD6D02">
        <w:rPr>
          <w:rFonts w:cstheme="minorHAnsi"/>
          <w:sz w:val="20"/>
          <w:szCs w:val="20"/>
        </w:rPr>
        <w:t>interest</w:t>
      </w:r>
      <w:proofErr w:type="spellEnd"/>
      <w:r w:rsidRPr="00AD6D02">
        <w:rPr>
          <w:rFonts w:cstheme="minorHAnsi"/>
          <w:sz w:val="20"/>
          <w:szCs w:val="20"/>
        </w:rPr>
        <w:t>.</w:t>
      </w:r>
    </w:p>
    <w:p w14:paraId="6C07F581" w14:textId="77777777" w:rsidR="005F4300" w:rsidRDefault="005F4300" w:rsidP="005F4300">
      <w:pPr>
        <w:shd w:val="clear" w:color="auto" w:fill="FFFFFF" w:themeFill="background1"/>
        <w:spacing w:after="0" w:line="240" w:lineRule="auto"/>
        <w:rPr>
          <w:rFonts w:ascii="Segoe UI" w:hAnsi="Segoe UI" w:cs="Segoe UI"/>
          <w:sz w:val="18"/>
          <w:szCs w:val="18"/>
        </w:rPr>
      </w:pPr>
      <w:r w:rsidRPr="00DC57AE">
        <w:rPr>
          <w:rFonts w:ascii="Segoe UI" w:hAnsi="Segoe UI" w:cs="Segoe UI"/>
          <w:b/>
          <w:bCs/>
          <w:sz w:val="18"/>
          <w:szCs w:val="18"/>
        </w:rPr>
        <w:t>Publisher’s Note</w:t>
      </w:r>
      <w:r w:rsidRPr="00DC57AE">
        <w:rPr>
          <w:rFonts w:ascii="Segoe UI" w:hAnsi="Segoe UI" w:cs="Segoe UI"/>
          <w:sz w:val="18"/>
          <w:szCs w:val="18"/>
        </w:rPr>
        <w:t xml:space="preserve">: All claims expressed in this article are solely those of the authors and do not necessarily represent those of their affiliated organizations, or those of the publisher, the editors and the reviewers. </w:t>
      </w:r>
    </w:p>
    <w:bookmarkEnd w:id="0"/>
    <w:bookmarkEnd w:id="1"/>
    <w:p w14:paraId="6776DAC4" w14:textId="77777777" w:rsidR="005F4300" w:rsidRDefault="005F4300" w:rsidP="005F4300">
      <w:pPr>
        <w:spacing w:line="240" w:lineRule="auto"/>
        <w:rPr>
          <w:rFonts w:ascii="Segoe UI" w:hAnsi="Segoe UI" w:cs="Segoe UI"/>
          <w:b/>
          <w:sz w:val="18"/>
          <w:szCs w:val="18"/>
        </w:rPr>
      </w:pPr>
    </w:p>
    <w:p w14:paraId="565B9F42" w14:textId="78336A03" w:rsidR="005F4300" w:rsidRPr="005F4300" w:rsidRDefault="005F4300" w:rsidP="005F4300">
      <w:pPr>
        <w:spacing w:line="240" w:lineRule="auto"/>
        <w:rPr>
          <w:rFonts w:ascii="Segoe UI" w:hAnsi="Segoe UI" w:cs="Segoe UI"/>
          <w:sz w:val="18"/>
          <w:szCs w:val="18"/>
        </w:rPr>
      </w:pPr>
      <w:r w:rsidRPr="005F4300">
        <w:rPr>
          <w:rFonts w:ascii="Segoe UI" w:hAnsi="Segoe UI" w:cs="Segoe UI"/>
          <w:b/>
          <w:sz w:val="18"/>
          <w:szCs w:val="18"/>
        </w:rPr>
        <w:t>REFERENCES AND CITATIONS</w:t>
      </w:r>
    </w:p>
    <w:p w14:paraId="13F979C6"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Cases</w:t>
      </w:r>
    </w:p>
    <w:p w14:paraId="64C16FC1"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1. State v. Loomis, 881 N.W.2d 749 (Wis. 2016) (Wisconsin Supreme Court upholding use of COMPAS algorithm in sentencing).</w:t>
      </w:r>
    </w:p>
    <w:p w14:paraId="6BE91C3F"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 xml:space="preserve">2. E.P. </w:t>
      </w:r>
      <w:proofErr w:type="spellStart"/>
      <w:r w:rsidRPr="005F4300">
        <w:rPr>
          <w:rFonts w:ascii="Segoe UI" w:hAnsi="Segoe UI" w:cs="Segoe UI"/>
          <w:sz w:val="18"/>
          <w:szCs w:val="18"/>
        </w:rPr>
        <w:t>Royappa</w:t>
      </w:r>
      <w:proofErr w:type="spellEnd"/>
      <w:r w:rsidRPr="005F4300">
        <w:rPr>
          <w:rFonts w:ascii="Segoe UI" w:hAnsi="Segoe UI" w:cs="Segoe UI"/>
          <w:sz w:val="18"/>
          <w:szCs w:val="18"/>
        </w:rPr>
        <w:t xml:space="preserve"> v. State of Tamil Nadu, AIR 1974 SC 555 (articulating substantive equality doctrine under Article 14).</w:t>
      </w:r>
    </w:p>
    <w:p w14:paraId="68ED949F"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3. Maneka Gandhi v. Union of India, AIR 1978 SC 597 (expanding Article 21 due process to require fair, just and reasonable procedure).</w:t>
      </w:r>
    </w:p>
    <w:p w14:paraId="7D6B7BCA"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4. Olga Tellis v. Bombay Municipal Corporation, AIR 1986 SC 180 (affirming right to livelihood as integral to Article 21).</w:t>
      </w:r>
    </w:p>
    <w:p w14:paraId="1F78E108"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 xml:space="preserve">5. Justice K.S. </w:t>
      </w:r>
      <w:proofErr w:type="spellStart"/>
      <w:r w:rsidRPr="005F4300">
        <w:rPr>
          <w:rFonts w:ascii="Segoe UI" w:hAnsi="Segoe UI" w:cs="Segoe UI"/>
          <w:sz w:val="18"/>
          <w:szCs w:val="18"/>
        </w:rPr>
        <w:t>Puttaswamy</w:t>
      </w:r>
      <w:proofErr w:type="spellEnd"/>
      <w:r w:rsidRPr="005F4300">
        <w:rPr>
          <w:rFonts w:ascii="Segoe UI" w:hAnsi="Segoe UI" w:cs="Segoe UI"/>
          <w:sz w:val="18"/>
          <w:szCs w:val="18"/>
        </w:rPr>
        <w:t xml:space="preserve"> (Retd.) v. Union of India, (2017) 10 SCC 1 (</w:t>
      </w:r>
      <w:proofErr w:type="spellStart"/>
      <w:r w:rsidRPr="005F4300">
        <w:rPr>
          <w:rFonts w:ascii="Segoe UI" w:hAnsi="Segoe UI" w:cs="Segoe UI"/>
          <w:sz w:val="18"/>
          <w:szCs w:val="18"/>
        </w:rPr>
        <w:t>recognising</w:t>
      </w:r>
      <w:proofErr w:type="spellEnd"/>
      <w:r w:rsidRPr="005F4300">
        <w:rPr>
          <w:rFonts w:ascii="Segoe UI" w:hAnsi="Segoe UI" w:cs="Segoe UI"/>
          <w:sz w:val="18"/>
          <w:szCs w:val="18"/>
        </w:rPr>
        <w:t xml:space="preserve"> right to privacy as fundamental right under Article 21).</w:t>
      </w:r>
    </w:p>
    <w:p w14:paraId="7B5DB211"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Legislation and Regulations</w:t>
      </w:r>
    </w:p>
    <w:p w14:paraId="54851EED"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6. Constitution of India, 1950, Arts. 14, 15, 21, 136, 227.</w:t>
      </w:r>
    </w:p>
    <w:p w14:paraId="1200418B"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7. Artificial Intelligence Act (EU), Regulation (EU) 2024/1689 of the European Parliament and of the Council.</w:t>
      </w:r>
    </w:p>
    <w:p w14:paraId="2EDF2400"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8. General Data Protection Regulation (EU) 2016/679, Art. 22 (automated individual decision-making).</w:t>
      </w:r>
    </w:p>
    <w:p w14:paraId="4174D7CF"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9. Digital Personal Data Protection Act, 2023 (India).</w:t>
      </w:r>
    </w:p>
    <w:p w14:paraId="3A8808CD"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 xml:space="preserve">10. </w:t>
      </w:r>
      <w:proofErr w:type="spellStart"/>
      <w:r w:rsidRPr="005F4300">
        <w:rPr>
          <w:rFonts w:ascii="Segoe UI" w:hAnsi="Segoe UI" w:cs="Segoe UI"/>
          <w:sz w:val="18"/>
          <w:szCs w:val="18"/>
        </w:rPr>
        <w:t>Bharatiya</w:t>
      </w:r>
      <w:proofErr w:type="spellEnd"/>
      <w:r w:rsidRPr="005F4300">
        <w:rPr>
          <w:rFonts w:ascii="Segoe UI" w:hAnsi="Segoe UI" w:cs="Segoe UI"/>
          <w:sz w:val="18"/>
          <w:szCs w:val="18"/>
        </w:rPr>
        <w:t xml:space="preserve"> </w:t>
      </w:r>
      <w:proofErr w:type="spellStart"/>
      <w:r w:rsidRPr="005F4300">
        <w:rPr>
          <w:rFonts w:ascii="Segoe UI" w:hAnsi="Segoe UI" w:cs="Segoe UI"/>
          <w:sz w:val="18"/>
          <w:szCs w:val="18"/>
        </w:rPr>
        <w:t>Sakshya</w:t>
      </w:r>
      <w:proofErr w:type="spellEnd"/>
      <w:r w:rsidRPr="005F4300">
        <w:rPr>
          <w:rFonts w:ascii="Segoe UI" w:hAnsi="Segoe UI" w:cs="Segoe UI"/>
          <w:sz w:val="18"/>
          <w:szCs w:val="18"/>
        </w:rPr>
        <w:t xml:space="preserve"> </w:t>
      </w:r>
      <w:proofErr w:type="spellStart"/>
      <w:r w:rsidRPr="005F4300">
        <w:rPr>
          <w:rFonts w:ascii="Segoe UI" w:hAnsi="Segoe UI" w:cs="Segoe UI"/>
          <w:sz w:val="18"/>
          <w:szCs w:val="18"/>
        </w:rPr>
        <w:t>Adhiniyam</w:t>
      </w:r>
      <w:proofErr w:type="spellEnd"/>
      <w:r w:rsidRPr="005F4300">
        <w:rPr>
          <w:rFonts w:ascii="Segoe UI" w:hAnsi="Segoe UI" w:cs="Segoe UI"/>
          <w:sz w:val="18"/>
          <w:szCs w:val="18"/>
        </w:rPr>
        <w:t>, 2023 (India), s. 63 (electronic records).</w:t>
      </w:r>
    </w:p>
    <w:p w14:paraId="0FC669D5"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11. Illinois Artificial Intelligence Video Interview Act, 820 ILCS 42 (2020).</w:t>
      </w:r>
    </w:p>
    <w:p w14:paraId="49D6BD30"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Secondary Sources</w:t>
      </w:r>
    </w:p>
    <w:p w14:paraId="4E24A5BD"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 xml:space="preserve">12. Julia Angwin et al., 'Machine </w:t>
      </w:r>
      <w:proofErr w:type="spellStart"/>
      <w:r w:rsidRPr="005F4300">
        <w:rPr>
          <w:rFonts w:ascii="Segoe UI" w:hAnsi="Segoe UI" w:cs="Segoe UI"/>
          <w:sz w:val="18"/>
          <w:szCs w:val="18"/>
        </w:rPr>
        <w:t>Bias'</w:t>
      </w:r>
      <w:proofErr w:type="spellEnd"/>
      <w:r w:rsidRPr="005F4300">
        <w:rPr>
          <w:rFonts w:ascii="Segoe UI" w:hAnsi="Segoe UI" w:cs="Segoe UI"/>
          <w:sz w:val="18"/>
          <w:szCs w:val="18"/>
        </w:rPr>
        <w:t xml:space="preserve"> (ProPublica, 23 May 2016) (documenting racial disparities in COMPAS risk assessments).</w:t>
      </w:r>
    </w:p>
    <w:p w14:paraId="6EF7328D"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13. Sandra G. Mayson, 'Bias In, Bias Out' (2019) 128 Yale Law Journal 2218.</w:t>
      </w:r>
    </w:p>
    <w:p w14:paraId="1C5B44D5"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 xml:space="preserve">14. Cass R. Sunstein, 'Governing by Algorithm? No Noise and (Potentially) Less </w:t>
      </w:r>
      <w:proofErr w:type="spellStart"/>
      <w:r w:rsidRPr="005F4300">
        <w:rPr>
          <w:rFonts w:ascii="Segoe UI" w:hAnsi="Segoe UI" w:cs="Segoe UI"/>
          <w:sz w:val="18"/>
          <w:szCs w:val="18"/>
        </w:rPr>
        <w:t>Bias'</w:t>
      </w:r>
      <w:proofErr w:type="spellEnd"/>
      <w:r w:rsidRPr="005F4300">
        <w:rPr>
          <w:rFonts w:ascii="Segoe UI" w:hAnsi="Segoe UI" w:cs="Segoe UI"/>
          <w:sz w:val="18"/>
          <w:szCs w:val="18"/>
        </w:rPr>
        <w:t xml:space="preserve"> (2021) 71 Duke Law Journal 1175.</w:t>
      </w:r>
    </w:p>
    <w:p w14:paraId="746C71B9"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15. Suresh Narayanan &amp; Jahnavi Sindhu, 'Artificial Intelligence in the Indian Judiciary: Prospects and Perils' (2023) 35 National Law School of India Review 1.</w:t>
      </w:r>
    </w:p>
    <w:p w14:paraId="7F53B7F2"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16. Supreme Court of India, 'SUPACE: Supreme Court Portal for Assistance in Court's Efficiency — Project Overview' (2021).</w:t>
      </w:r>
    </w:p>
    <w:p w14:paraId="49C4B4ED"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17. National Judicial Data Grid, Annual Statistical Report 2023-24.</w:t>
      </w:r>
    </w:p>
    <w:p w14:paraId="1A5DC53C"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18. Law Commission of India, Report No. 277: 'Assessment of Statutory Frameworks of Tribunals in India' (2021) (discussing technology integration in dispute resolution).</w:t>
      </w:r>
    </w:p>
    <w:p w14:paraId="1A64602C"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19. Richard Susskind, 'Online Courts and the Future of Justice' (Oxford University Press, 2019).</w:t>
      </w:r>
    </w:p>
    <w:p w14:paraId="17CA3581" w14:textId="77777777" w:rsidR="005F4300" w:rsidRPr="005F4300" w:rsidRDefault="005F4300" w:rsidP="005F4300">
      <w:pPr>
        <w:spacing w:after="0" w:line="240" w:lineRule="auto"/>
        <w:rPr>
          <w:rFonts w:ascii="Segoe UI" w:hAnsi="Segoe UI" w:cs="Segoe UI"/>
          <w:sz w:val="18"/>
          <w:szCs w:val="18"/>
        </w:rPr>
      </w:pPr>
      <w:r w:rsidRPr="005F4300">
        <w:rPr>
          <w:rFonts w:ascii="Segoe UI" w:hAnsi="Segoe UI" w:cs="Segoe UI"/>
          <w:sz w:val="18"/>
          <w:szCs w:val="18"/>
        </w:rPr>
        <w:t>20. Mireille Hildebrandt, 'Law for Computer Scientists and Other Folk' (Oxford University Press, 2020).</w:t>
      </w:r>
    </w:p>
    <w:p w14:paraId="4E09FD6A" w14:textId="1C1EB9F4" w:rsidR="003D28E9" w:rsidRPr="005F4300" w:rsidRDefault="003D28E9" w:rsidP="00FB1D25">
      <w:pPr>
        <w:pStyle w:val="NoSpacing"/>
        <w:jc w:val="both"/>
        <w:rPr>
          <w:rFonts w:ascii="Segoe UI" w:hAnsi="Segoe UI" w:cs="Segoe UI"/>
          <w:sz w:val="18"/>
          <w:szCs w:val="18"/>
          <w:lang w:val="en-US"/>
        </w:rPr>
      </w:pPr>
    </w:p>
    <w:sectPr w:rsidR="003D28E9" w:rsidRPr="005F4300" w:rsidSect="005F4300">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5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596CA" w14:textId="77777777" w:rsidR="00043C1E" w:rsidRDefault="00043C1E">
      <w:pPr>
        <w:spacing w:line="240" w:lineRule="auto"/>
      </w:pPr>
      <w:r>
        <w:separator/>
      </w:r>
    </w:p>
  </w:endnote>
  <w:endnote w:type="continuationSeparator" w:id="0">
    <w:p w14:paraId="42BA359E" w14:textId="77777777" w:rsidR="00043C1E" w:rsidRDefault="0004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2047129150"/>
    </w:sdtPr>
    <w:sdtContent>
      <w:p w14:paraId="32BD35A2" w14:textId="77777777" w:rsidR="003D28E9" w:rsidRDefault="00000000">
        <w:pPr>
          <w:pStyle w:val="Footer"/>
          <w:jc w:val="right"/>
          <w:rPr>
            <w:rFonts w:ascii="Segoe UI" w:hAnsi="Segoe UI" w:cs="Segoe UI"/>
            <w:b/>
            <w:bCs/>
            <w:sz w:val="16"/>
            <w:szCs w:val="16"/>
          </w:rPr>
        </w:pPr>
        <w:r>
          <w:rPr>
            <w:rFonts w:ascii="Segoe UI" w:hAnsi="Segoe UI" w:cs="Segoe UI"/>
            <w:b/>
            <w:bCs/>
            <w:sz w:val="16"/>
            <w:szCs w:val="16"/>
          </w:rPr>
          <w:t xml:space="preserve">Page | </w:t>
        </w:r>
        <w:r>
          <w:rPr>
            <w:rFonts w:ascii="Segoe UI" w:hAnsi="Segoe UI" w:cs="Segoe UI"/>
            <w:b/>
            <w:bCs/>
            <w:sz w:val="16"/>
            <w:szCs w:val="16"/>
          </w:rPr>
          <w:fldChar w:fldCharType="begin"/>
        </w:r>
        <w:r>
          <w:rPr>
            <w:rFonts w:ascii="Segoe UI" w:hAnsi="Segoe UI" w:cs="Segoe UI"/>
            <w:b/>
            <w:bCs/>
            <w:sz w:val="16"/>
            <w:szCs w:val="16"/>
          </w:rPr>
          <w:instrText xml:space="preserve"> PAGE   \* MERGEFORMAT </w:instrText>
        </w:r>
        <w:r>
          <w:rPr>
            <w:rFonts w:ascii="Segoe UI" w:hAnsi="Segoe UI" w:cs="Segoe UI"/>
            <w:b/>
            <w:bCs/>
            <w:sz w:val="16"/>
            <w:szCs w:val="16"/>
          </w:rPr>
          <w:fldChar w:fldCharType="separate"/>
        </w:r>
        <w:r>
          <w:rPr>
            <w:rFonts w:ascii="Segoe UI" w:hAnsi="Segoe UI" w:cs="Segoe UI"/>
            <w:b/>
            <w:bCs/>
            <w:sz w:val="16"/>
            <w:szCs w:val="16"/>
          </w:rPr>
          <w:t>2</w:t>
        </w:r>
        <w:r>
          <w:rPr>
            <w:rFonts w:ascii="Segoe UI" w:hAnsi="Segoe UI" w:cs="Segoe UI"/>
            <w:b/>
            <w:bCs/>
            <w:sz w:val="16"/>
            <w:szCs w:val="16"/>
          </w:rPr>
          <w:fldChar w:fldCharType="end"/>
        </w:r>
        <w:r>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165488221"/>
    </w:sdtPr>
    <w:sdtContent>
      <w:p w14:paraId="0AA0C5A9" w14:textId="77777777" w:rsidR="003D28E9" w:rsidRDefault="00000000">
        <w:pPr>
          <w:pStyle w:val="Footer"/>
          <w:jc w:val="right"/>
          <w:rPr>
            <w:rFonts w:ascii="Segoe UI" w:hAnsi="Segoe UI" w:cs="Segoe UI"/>
            <w:b/>
            <w:bCs/>
            <w:sz w:val="16"/>
            <w:szCs w:val="16"/>
          </w:rPr>
        </w:pPr>
        <w:r>
          <w:rPr>
            <w:rFonts w:ascii="Segoe UI" w:hAnsi="Segoe UI" w:cs="Segoe UI"/>
            <w:b/>
            <w:bCs/>
            <w:sz w:val="16"/>
            <w:szCs w:val="16"/>
          </w:rPr>
          <w:t xml:space="preserve">Page | </w:t>
        </w:r>
        <w:r>
          <w:rPr>
            <w:rFonts w:ascii="Segoe UI" w:hAnsi="Segoe UI" w:cs="Segoe UI"/>
            <w:b/>
            <w:bCs/>
            <w:sz w:val="16"/>
            <w:szCs w:val="16"/>
          </w:rPr>
          <w:fldChar w:fldCharType="begin"/>
        </w:r>
        <w:r>
          <w:rPr>
            <w:rFonts w:ascii="Segoe UI" w:hAnsi="Segoe UI" w:cs="Segoe UI"/>
            <w:b/>
            <w:bCs/>
            <w:sz w:val="16"/>
            <w:szCs w:val="16"/>
          </w:rPr>
          <w:instrText xml:space="preserve"> PAGE   \* MERGEFORMAT </w:instrText>
        </w:r>
        <w:r>
          <w:rPr>
            <w:rFonts w:ascii="Segoe UI" w:hAnsi="Segoe UI" w:cs="Segoe UI"/>
            <w:b/>
            <w:bCs/>
            <w:sz w:val="16"/>
            <w:szCs w:val="16"/>
          </w:rPr>
          <w:fldChar w:fldCharType="separate"/>
        </w:r>
        <w:r>
          <w:rPr>
            <w:rFonts w:ascii="Segoe UI" w:hAnsi="Segoe UI" w:cs="Segoe UI"/>
            <w:b/>
            <w:bCs/>
            <w:sz w:val="16"/>
            <w:szCs w:val="16"/>
          </w:rPr>
          <w:t>3</w:t>
        </w:r>
        <w:r>
          <w:rPr>
            <w:rFonts w:ascii="Segoe UI" w:hAnsi="Segoe UI" w:cs="Segoe UI"/>
            <w:b/>
            <w:bCs/>
            <w:sz w:val="16"/>
            <w:szCs w:val="16"/>
          </w:rPr>
          <w:fldChar w:fldCharType="end"/>
        </w:r>
        <w:r>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sz w:val="16"/>
        <w:szCs w:val="16"/>
      </w:rPr>
      <w:id w:val="-1369368066"/>
    </w:sdtPr>
    <w:sdtEndPr>
      <w:rPr>
        <w:b/>
        <w:bCs/>
      </w:rPr>
    </w:sdtEndPr>
    <w:sdtContent>
      <w:p w14:paraId="71A9DBCB" w14:textId="77777777" w:rsidR="003D28E9" w:rsidRDefault="00000000">
        <w:pPr>
          <w:pStyle w:val="Footer"/>
          <w:ind w:right="-266"/>
          <w:rPr>
            <w:rFonts w:ascii="Segoe UI" w:hAnsi="Segoe UI" w:cs="Segoe UI"/>
            <w:sz w:val="16"/>
            <w:szCs w:val="16"/>
          </w:rPr>
        </w:pPr>
        <w:r>
          <w:rPr>
            <w:rFonts w:ascii="Segoe UI" w:hAnsi="Segoe UI" w:cs="Segoe UI"/>
            <w:b/>
            <w:bCs/>
            <w:color w:val="FF0000"/>
            <w:sz w:val="16"/>
            <w:szCs w:val="16"/>
          </w:rPr>
          <w:t>Copyright</w:t>
        </w:r>
        <w:r>
          <w:rPr>
            <w:rFonts w:ascii="Segoe UI" w:hAnsi="Segoe UI" w:cs="Segoe UI"/>
            <w:sz w:val="16"/>
            <w:szCs w:val="16"/>
          </w:rPr>
          <w:t xml:space="preserve">: © 2026 the Author(s). This article is an open access article distributed under the terms and conditions of the Creative Commons Attribution (CC-BY) 4.0 license (https://creativecommons.org/licenses/by/4.0/). Published by Al-Kindi Centre for Research and Development, </w:t>
        </w:r>
      </w:p>
      <w:p w14:paraId="1C61E4FF" w14:textId="77777777" w:rsidR="003D28E9" w:rsidRDefault="00000000">
        <w:pPr>
          <w:pStyle w:val="Footer"/>
          <w:ind w:right="-266"/>
          <w:rPr>
            <w:rFonts w:ascii="Segoe UI" w:hAnsi="Segoe UI" w:cs="Segoe UI"/>
            <w:sz w:val="16"/>
            <w:szCs w:val="16"/>
          </w:rPr>
        </w:pPr>
        <w:r>
          <w:rPr>
            <w:rFonts w:ascii="Segoe UI" w:hAnsi="Segoe UI" w:cs="Segoe UI"/>
            <w:sz w:val="16"/>
            <w:szCs w:val="16"/>
          </w:rPr>
          <w:t xml:space="preserve">London, United Kingdom.                                                                                                                         </w:t>
        </w:r>
      </w:p>
      <w:p w14:paraId="729AD3FD" w14:textId="77777777" w:rsidR="003D28E9" w:rsidRDefault="00000000">
        <w:pPr>
          <w:pStyle w:val="Footer"/>
          <w:jc w:val="right"/>
          <w:rPr>
            <w:rFonts w:ascii="Segoe UI" w:hAnsi="Segoe UI" w:cs="Segoe UI"/>
            <w:b/>
            <w:bCs/>
            <w:sz w:val="16"/>
            <w:szCs w:val="16"/>
          </w:rPr>
        </w:pPr>
        <w:r>
          <w:rPr>
            <w:rFonts w:ascii="Segoe UI" w:hAnsi="Segoe UI" w:cs="Segoe UI"/>
            <w:b/>
            <w:bCs/>
            <w:sz w:val="16"/>
            <w:szCs w:val="16"/>
          </w:rPr>
          <w:t xml:space="preserve">    Page | </w:t>
        </w:r>
        <w:r>
          <w:rPr>
            <w:rFonts w:ascii="Segoe UI" w:hAnsi="Segoe UI" w:cs="Segoe UI"/>
            <w:b/>
            <w:bCs/>
            <w:sz w:val="16"/>
            <w:szCs w:val="16"/>
          </w:rPr>
          <w:fldChar w:fldCharType="begin"/>
        </w:r>
        <w:r>
          <w:rPr>
            <w:rFonts w:ascii="Segoe UI" w:hAnsi="Segoe UI" w:cs="Segoe UI"/>
            <w:b/>
            <w:bCs/>
            <w:sz w:val="16"/>
            <w:szCs w:val="16"/>
          </w:rPr>
          <w:instrText xml:space="preserve"> PAGE   \* MERGEFORMAT </w:instrText>
        </w:r>
        <w:r>
          <w:rPr>
            <w:rFonts w:ascii="Segoe UI" w:hAnsi="Segoe UI" w:cs="Segoe UI"/>
            <w:b/>
            <w:bCs/>
            <w:sz w:val="16"/>
            <w:szCs w:val="16"/>
          </w:rPr>
          <w:fldChar w:fldCharType="separate"/>
        </w:r>
        <w:r>
          <w:rPr>
            <w:rFonts w:ascii="Segoe UI" w:hAnsi="Segoe UI" w:cs="Segoe UI"/>
            <w:b/>
            <w:bCs/>
            <w:sz w:val="16"/>
            <w:szCs w:val="16"/>
          </w:rPr>
          <w:t>1</w:t>
        </w:r>
        <w:r>
          <w:rPr>
            <w:rFonts w:ascii="Segoe UI" w:hAnsi="Segoe UI" w:cs="Segoe UI"/>
            <w:b/>
            <w:bCs/>
            <w:sz w:val="16"/>
            <w:szCs w:val="16"/>
          </w:rPr>
          <w:fldChar w:fldCharType="end"/>
        </w:r>
        <w:r>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3DB98" w14:textId="77777777" w:rsidR="00043C1E" w:rsidRDefault="00043C1E">
      <w:pPr>
        <w:spacing w:after="0"/>
      </w:pPr>
      <w:r>
        <w:separator/>
      </w:r>
    </w:p>
  </w:footnote>
  <w:footnote w:type="continuationSeparator" w:id="0">
    <w:p w14:paraId="26BEF0EB" w14:textId="77777777" w:rsidR="00043C1E" w:rsidRDefault="00043C1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8CA22" w14:textId="353033E1" w:rsidR="003D28E9" w:rsidRDefault="005F4300">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sidRPr="005F4300">
      <w:rPr>
        <w:rFonts w:ascii="Segoe UI" w:eastAsia="Times New Roman" w:hAnsi="Segoe UI" w:cs="Segoe UI"/>
        <w:b/>
        <w:bCs/>
        <w:i/>
        <w:sz w:val="16"/>
        <w:szCs w:val="16"/>
        <w:lang w:eastAsia="en-GB"/>
      </w:rPr>
      <w:t>From Courtrooms to Code: Opportunities and Challenges of Artificial Intelligence in Indian Judiciary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2EC96" w14:textId="07367D3E" w:rsidR="003D28E9" w:rsidRDefault="00000000">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 xml:space="preserve">IJLPS 8(5): </w:t>
    </w:r>
    <w:r w:rsidR="005F4300">
      <w:rPr>
        <w:rFonts w:ascii="Segoe UI" w:hAnsi="Segoe UI" w:cs="Segoe UI"/>
        <w:b/>
        <w:bCs/>
        <w:i/>
        <w:iCs/>
        <w:sz w:val="16"/>
        <w:szCs w:val="16"/>
      </w:rPr>
      <w:t>54</w:t>
    </w:r>
    <w:r>
      <w:rPr>
        <w:rFonts w:ascii="Segoe UI" w:hAnsi="Segoe UI" w:cs="Segoe UI"/>
        <w:b/>
        <w:bCs/>
        <w:i/>
        <w:iCs/>
        <w:sz w:val="16"/>
        <w:szCs w:val="16"/>
      </w:rPr>
      <w:t>-</w:t>
    </w:r>
    <w:r w:rsidR="005F4300">
      <w:rPr>
        <w:rFonts w:ascii="Segoe UI" w:hAnsi="Segoe UI" w:cs="Segoe UI"/>
        <w:b/>
        <w:bCs/>
        <w:i/>
        <w:iCs/>
        <w:sz w:val="16"/>
        <w:szCs w:val="16"/>
      </w:rPr>
      <w:t>62</w:t>
    </w:r>
  </w:p>
  <w:p w14:paraId="515AF9B4" w14:textId="77777777" w:rsidR="003D28E9" w:rsidRDefault="003D28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3D28E9" w14:paraId="531585B7" w14:textId="77777777">
      <w:trPr>
        <w:trHeight w:val="470"/>
      </w:trPr>
      <w:tc>
        <w:tcPr>
          <w:tcW w:w="6611" w:type="dxa"/>
          <w:shd w:val="clear" w:color="auto" w:fill="FFFFFF" w:themeFill="background1"/>
        </w:tcPr>
        <w:p w14:paraId="20AB01E7" w14:textId="77777777" w:rsidR="003D28E9" w:rsidRDefault="00000000">
          <w:pPr>
            <w:pStyle w:val="Header"/>
            <w:tabs>
              <w:tab w:val="clear" w:pos="4320"/>
              <w:tab w:val="clear" w:pos="8640"/>
              <w:tab w:val="left" w:pos="3243"/>
            </w:tabs>
            <w:ind w:left="-24"/>
            <w:rPr>
              <w:rFonts w:ascii="Segoe UI" w:hAnsi="Segoe UI" w:cs="Segoe UI"/>
              <w:b/>
              <w:bCs/>
              <w:sz w:val="20"/>
              <w:szCs w:val="20"/>
            </w:rPr>
          </w:pPr>
          <w:r>
            <w:rPr>
              <w:rFonts w:ascii="Segoe UI" w:hAnsi="Segoe UI" w:cs="Segoe UI"/>
              <w:b/>
              <w:bCs/>
            </w:rPr>
            <w:t>International Journal of Law and Politics Studies</w:t>
          </w:r>
          <w:r>
            <w:rPr>
              <w:rFonts w:ascii="Segoe UI" w:hAnsi="Segoe UI" w:cs="Segoe UI"/>
              <w:b/>
              <w:bCs/>
              <w:sz w:val="20"/>
              <w:szCs w:val="20"/>
            </w:rPr>
            <w:t xml:space="preserve"> </w:t>
          </w:r>
        </w:p>
        <w:p w14:paraId="5B74C09A" w14:textId="77777777" w:rsidR="003D28E9" w:rsidRDefault="00000000">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ISSN: 2709-0914</w:t>
          </w:r>
        </w:p>
        <w:p w14:paraId="290DAAF0" w14:textId="77777777" w:rsidR="003D28E9" w:rsidRDefault="00000000">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proofErr w:type="spellStart"/>
          <w:r>
            <w:rPr>
              <w:rFonts w:ascii="Segoe UI" w:hAnsi="Segoe UI" w:cs="Segoe UI"/>
              <w:sz w:val="20"/>
              <w:szCs w:val="20"/>
            </w:rPr>
            <w:t>ijlps</w:t>
          </w:r>
          <w:proofErr w:type="spellEnd"/>
        </w:p>
        <w:p w14:paraId="0C638E9C" w14:textId="77777777" w:rsidR="003D28E9" w:rsidRDefault="00000000">
          <w:pPr>
            <w:pStyle w:val="Header"/>
            <w:tabs>
              <w:tab w:val="clear" w:pos="4320"/>
              <w:tab w:val="clear" w:pos="8640"/>
              <w:tab w:val="left" w:pos="3243"/>
            </w:tabs>
            <w:ind w:left="-24"/>
          </w:pPr>
          <w:r>
            <w:rPr>
              <w:rFonts w:ascii="Segoe UI" w:hAnsi="Segoe UI" w:cs="Segoe UI"/>
              <w:sz w:val="20"/>
              <w:szCs w:val="20"/>
            </w:rPr>
            <w:t>Journal Homepage: www.al-kindipublisher.com/index.php/ijlps</w:t>
          </w:r>
        </w:p>
      </w:tc>
      <w:tc>
        <w:tcPr>
          <w:tcW w:w="4819" w:type="dxa"/>
        </w:tcPr>
        <w:p w14:paraId="6262ACD8" w14:textId="77777777" w:rsidR="003D28E9" w:rsidRDefault="00000000">
          <w:pPr>
            <w:spacing w:after="0" w:line="240" w:lineRule="auto"/>
            <w:jc w:val="center"/>
            <w:rPr>
              <w:rFonts w:ascii="Cambria" w:hAnsi="Cambria" w:cs="Segoe UI"/>
              <w:b/>
              <w:bCs/>
              <w:color w:val="FF3300"/>
              <w:sz w:val="56"/>
              <w:szCs w:val="56"/>
              <w:lang w:val="en-GB"/>
            </w:rPr>
          </w:pPr>
          <w:r>
            <w:rPr>
              <w:rFonts w:ascii="Cambria" w:hAnsi="Cambria" w:cs="Segoe UI"/>
              <w:b/>
              <w:bCs/>
              <w:color w:val="FF3300"/>
              <w:sz w:val="56"/>
              <w:szCs w:val="56"/>
              <w:lang w:val="en-GB"/>
            </w:rPr>
            <w:t xml:space="preserve">   IJLPS</w:t>
          </w:r>
        </w:p>
        <w:p w14:paraId="7E8DC0D1" w14:textId="77777777" w:rsidR="003D28E9" w:rsidRDefault="00000000">
          <w:pPr>
            <w:pStyle w:val="Header"/>
            <w:tabs>
              <w:tab w:val="clear" w:pos="4320"/>
              <w:tab w:val="clear" w:pos="8640"/>
              <w:tab w:val="left" w:pos="3243"/>
            </w:tabs>
            <w:ind w:right="-283"/>
            <w:jc w:val="center"/>
            <w:rPr>
              <w:b/>
              <w:bCs/>
              <w:sz w:val="16"/>
              <w:szCs w:val="16"/>
            </w:rPr>
          </w:pPr>
          <w:r>
            <w:rPr>
              <w:b/>
              <w:bCs/>
              <w:sz w:val="16"/>
              <w:szCs w:val="16"/>
            </w:rPr>
            <w:t xml:space="preserve">AL-KINDI CENTER FOR RESEARCH </w:t>
          </w:r>
        </w:p>
        <w:p w14:paraId="1F2B16C7" w14:textId="77777777" w:rsidR="003D28E9" w:rsidRDefault="00000000">
          <w:pPr>
            <w:pStyle w:val="Header"/>
            <w:tabs>
              <w:tab w:val="clear" w:pos="4320"/>
              <w:tab w:val="clear" w:pos="8640"/>
              <w:tab w:val="left" w:pos="3243"/>
            </w:tabs>
            <w:ind w:right="-283"/>
            <w:jc w:val="center"/>
            <w:rPr>
              <w:b/>
              <w:bCs/>
              <w:sz w:val="16"/>
              <w:szCs w:val="16"/>
            </w:rPr>
          </w:pPr>
          <w:r>
            <w:rPr>
              <w:b/>
              <w:bCs/>
              <w:sz w:val="16"/>
              <w:szCs w:val="16"/>
            </w:rPr>
            <w:t xml:space="preserve">AND DEVELOPMENT </w:t>
          </w:r>
        </w:p>
      </w:tc>
    </w:tr>
  </w:tbl>
  <w:p w14:paraId="7BB7AADF" w14:textId="77777777" w:rsidR="003D28E9" w:rsidRDefault="003D28E9">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B"/>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num w:numId="1" w16cid:durableId="584001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sFAC9T9pI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43C1E"/>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650C1"/>
    <w:rsid w:val="001714BE"/>
    <w:rsid w:val="0017564D"/>
    <w:rsid w:val="0018235D"/>
    <w:rsid w:val="00183EB8"/>
    <w:rsid w:val="001857D0"/>
    <w:rsid w:val="00192CF8"/>
    <w:rsid w:val="001931A3"/>
    <w:rsid w:val="00195E8D"/>
    <w:rsid w:val="001A3956"/>
    <w:rsid w:val="001A49FA"/>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0759"/>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D28E9"/>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5217"/>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6747C"/>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4300"/>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E73FB"/>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1C4E"/>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133"/>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644"/>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D77FA"/>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5DA9"/>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033A"/>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2656D"/>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B7AC8"/>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1D25"/>
    <w:rsid w:val="00FB492C"/>
    <w:rsid w:val="00FB5ACD"/>
    <w:rsid w:val="00FC057D"/>
    <w:rsid w:val="00FC1A41"/>
    <w:rsid w:val="00FC57D6"/>
    <w:rsid w:val="00FD04BB"/>
    <w:rsid w:val="00FD1081"/>
    <w:rsid w:val="00FE3320"/>
    <w:rsid w:val="00FF022D"/>
    <w:rsid w:val="00FF320C"/>
    <w:rsid w:val="00FF343B"/>
    <w:rsid w:val="00FF5A6A"/>
    <w:rsid w:val="104D4A9B"/>
    <w:rsid w:val="27E352B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AAE6"/>
  <w15:docId w15:val="{F488F28E-0320-4D9B-9203-09E1050D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qFormat/>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qFormat/>
    <w:pPr>
      <w:keepNext/>
      <w:numPr>
        <w:ilvl w:val="2"/>
        <w:numId w:val="1"/>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pPr>
      <w:keepNext/>
      <w:numPr>
        <w:ilvl w:val="3"/>
        <w:numId w:val="1"/>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pPr>
      <w:numPr>
        <w:ilvl w:val="6"/>
        <w:numId w:val="1"/>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pPr>
      <w:numPr>
        <w:ilvl w:val="7"/>
        <w:numId w:val="1"/>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pPr>
      <w:numPr>
        <w:ilvl w:val="8"/>
        <w:numId w:val="1"/>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spacing w:after="0" w:line="240" w:lineRule="auto"/>
    </w:pPr>
    <w:rPr>
      <w:rFonts w:ascii="Times New Roman" w:eastAsia="Times New Roman" w:hAnsi="Times New Roman" w:cs="Times New Roman"/>
      <w:sz w:val="20"/>
      <w:szCs w:val="20"/>
      <w:lang w:val="fr-FR" w:eastAsia="fr-FR"/>
    </w:rPr>
  </w:style>
  <w:style w:type="paragraph" w:styleId="EndnoteText">
    <w:name w:val="endnote text"/>
    <w:basedOn w:val="Normal"/>
    <w:link w:val="EndnoteTextChar"/>
    <w:uiPriority w:val="99"/>
    <w:semiHidden/>
    <w:unhideWhenUsed/>
    <w:qFormat/>
    <w:pPr>
      <w:spacing w:after="0" w:line="240" w:lineRule="auto"/>
      <w:jc w:val="both"/>
    </w:pPr>
    <w:rPr>
      <w:rFonts w:ascii="Verdana" w:hAnsi="Verdana"/>
      <w:sz w:val="20"/>
      <w:szCs w:val="20"/>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320"/>
        <w:tab w:val="right" w:pos="8640"/>
      </w:tabs>
      <w:spacing w:after="0" w:line="240" w:lineRule="auto"/>
    </w:pPr>
  </w:style>
  <w:style w:type="paragraph" w:styleId="Header">
    <w:name w:val="header"/>
    <w:basedOn w:val="Normal"/>
    <w:link w:val="HeaderChar"/>
    <w:uiPriority w:val="99"/>
    <w:unhideWhenUsed/>
    <w:qFormat/>
    <w:pPr>
      <w:tabs>
        <w:tab w:val="center" w:pos="4320"/>
        <w:tab w:val="right" w:pos="8640"/>
      </w:tabs>
      <w:spacing w:after="0" w:line="240" w:lineRule="auto"/>
    </w:pPr>
  </w:style>
  <w:style w:type="paragraph" w:styleId="FootnoteText">
    <w:name w:val="footnote text"/>
    <w:basedOn w:val="Normal"/>
    <w:link w:val="FootnoteTextChar"/>
    <w:unhideWhenUsed/>
    <w:qFormat/>
    <w:pPr>
      <w:spacing w:after="0" w:line="240" w:lineRule="auto"/>
    </w:pPr>
    <w:rPr>
      <w:rFonts w:ascii="Calibri" w:eastAsia="Calibri" w:hAnsi="Calibri" w:cs="Times New Roman"/>
      <w:sz w:val="20"/>
      <w:szCs w:val="20"/>
      <w:lang w:val="fr-FR"/>
    </w:rPr>
  </w:style>
  <w:style w:type="paragraph" w:styleId="Index1">
    <w:name w:val="index 1"/>
    <w:basedOn w:val="Normal"/>
    <w:next w:val="Normal"/>
    <w:autoRedefine/>
    <w:semiHidden/>
    <w:qFormat/>
    <w:pPr>
      <w:spacing w:after="0" w:line="240" w:lineRule="auto"/>
      <w:ind w:left="240" w:hanging="240"/>
    </w:pPr>
    <w:rPr>
      <w:rFonts w:ascii="Times New Roman" w:eastAsia="Times New Roman" w:hAnsi="Times New Roman" w:cs="Times New Roman"/>
      <w:sz w:val="28"/>
      <w:szCs w:val="28"/>
      <w:lang w:val="en-GB" w:eastAsia="fr-FR"/>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qFormat/>
    <w:rPr>
      <w:color w:val="2E74B5" w:themeColor="accent5" w:themeShade="BF"/>
    </w:rPr>
    <w:tblPr>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unhideWhenUsed/>
    <w:qFormat/>
    <w:rPr>
      <w:vertAlign w:val="superscript"/>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qFormat/>
    <w:rPr>
      <w:rFonts w:ascii="Calibri" w:eastAsia="Calibri" w:hAnsi="Calibri" w:cs="Times New Roman"/>
      <w:sz w:val="20"/>
      <w:szCs w:val="20"/>
      <w:lang w:val="fr-FR"/>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NoSpacing">
    <w:name w:val="No Spacing"/>
    <w:uiPriority w:val="1"/>
    <w:qFormat/>
    <w:rPr>
      <w:rFonts w:asciiTheme="minorHAnsi" w:eastAsiaTheme="minorHAnsi" w:hAnsiTheme="minorHAnsi" w:cstheme="minorBidi"/>
      <w:sz w:val="22"/>
      <w:szCs w:val="22"/>
      <w:lang w:val="fr-FR"/>
    </w:rPr>
  </w:style>
  <w:style w:type="character" w:customStyle="1" w:styleId="Heading1Char">
    <w:name w:val="Heading 1 Char"/>
    <w:basedOn w:val="DefaultParagraphFont"/>
    <w:link w:val="Heading1"/>
    <w:qFormat/>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qFormat/>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qFormat/>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qFormat/>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qFormat/>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qFormat/>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qFormat/>
    <w:rPr>
      <w:rFonts w:ascii="Times New Roman" w:eastAsia="PMingLiU" w:hAnsi="Times New Roman" w:cs="Times New Roman"/>
      <w:sz w:val="16"/>
      <w:szCs w:val="16"/>
    </w:rPr>
  </w:style>
  <w:style w:type="character" w:customStyle="1" w:styleId="Heading8Char">
    <w:name w:val="Heading 8 Char"/>
    <w:basedOn w:val="DefaultParagraphFont"/>
    <w:link w:val="Heading8"/>
    <w:semiHidden/>
    <w:qFormat/>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qFormat/>
    <w:rPr>
      <w:rFonts w:ascii="Times New Roman" w:eastAsia="PMingLiU" w:hAnsi="Times New Roman" w:cs="Times New Roman"/>
      <w:sz w:val="16"/>
      <w:szCs w:val="16"/>
    </w:rPr>
  </w:style>
  <w:style w:type="character" w:customStyle="1" w:styleId="SubtleEmphasis1">
    <w:name w:val="Subtle Emphasis1"/>
    <w:basedOn w:val="DefaultParagraphFont"/>
    <w:uiPriority w:val="19"/>
    <w:qFormat/>
    <w:rPr>
      <w:i/>
      <w:iCs/>
      <w:color w:val="404040" w:themeColor="text1" w:themeTint="BF"/>
    </w:rPr>
  </w:style>
  <w:style w:type="character" w:customStyle="1" w:styleId="EndnoteTextChar">
    <w:name w:val="Endnote Text Char"/>
    <w:basedOn w:val="DefaultParagraphFont"/>
    <w:link w:val="EndnoteText"/>
    <w:uiPriority w:val="99"/>
    <w:semiHidden/>
    <w:qFormat/>
    <w:rPr>
      <w:rFonts w:ascii="Verdana" w:hAnsi="Verdana"/>
      <w:sz w:val="20"/>
      <w:szCs w:val="20"/>
    </w:rPr>
  </w:style>
  <w:style w:type="character" w:customStyle="1" w:styleId="CarCar">
    <w:name w:val="Car Car"/>
    <w:semiHidden/>
    <w:qFormat/>
    <w:locked/>
    <w:rPr>
      <w:lang w:val="fr-FR" w:eastAsia="fr-FR" w:bidi="ar-SA"/>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fr-FR" w:eastAsia="fr-FR"/>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fr-FR" w:eastAsia="fr-FR"/>
    </w:rPr>
  </w:style>
  <w:style w:type="paragraph" w:customStyle="1" w:styleId="14-SJOMAbstractRight">
    <w:name w:val="1.4- SJOM Abstract Right"/>
    <w:basedOn w:val="Normal"/>
    <w:qFormat/>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qFormat/>
    <w:rPr>
      <w:rFonts w:ascii="Garamond" w:eastAsia="Calibri" w:hAnsi="Garamond" w:cs="Arial"/>
      <w: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5E556-4F03-4E69-8DB9-73DBE0FE6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6915</Words>
  <Characters>39422</Characters>
  <Application>Microsoft Office Word</Application>
  <DocSecurity>0</DocSecurity>
  <Lines>328</Lines>
  <Paragraphs>92</Paragraphs>
  <ScaleCrop>false</ScaleCrop>
  <Company/>
  <LinksUpToDate>false</LinksUpToDate>
  <CharactersWithSpaces>46245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Sawalmeh</dc:creator>
  <cp:lastModifiedBy>hp</cp:lastModifiedBy>
  <cp:revision>5</cp:revision>
  <cp:lastPrinted>2026-05-26T10:43:00Z</cp:lastPrinted>
  <dcterms:created xsi:type="dcterms:W3CDTF">2026-05-22T14:24:00Z</dcterms:created>
  <dcterms:modified xsi:type="dcterms:W3CDTF">2026-06-10T09:23:00Z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eyJoZGlkIjoiMzdlMzU0MmZkOTg5ZTMzOTlmMzk1YWUxNTk0NWJhYjciLCJ1c2VySWQiOiIxMjM3NjkwMjg4In0=</vt:lpwstr>
  </property>
  <property fmtid="{D5CDD505-2E9C-101B-9397-08002B2CF9AE}" pid="3" name="KSOProductBuildVer">
    <vt:lpwstr>2052-12.1.0.26375</vt:lpwstr>
  </property>
  <property fmtid="{D5CDD505-2E9C-101B-9397-08002B2CF9AE}" pid="4" name="ICV">
    <vt:lpwstr>F45B896BEC2E4DCD89E45E0761141B73_13</vt:lpwstr>
  </property>
</Properties>
</file>